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5FCF" w14:textId="222435C8" w:rsidR="0001291E" w:rsidRDefault="00820245" w:rsidP="00723383">
      <w:bookmarkStart w:id="0" w:name="_Hlk15565061"/>
      <w:r>
        <w:rPr>
          <w:noProof/>
          <w:lang w:val="en-US"/>
        </w:rPr>
        <w:drawing>
          <wp:anchor distT="0" distB="0" distL="114300" distR="114300" simplePos="0" relativeHeight="251658240"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09497149" w14:textId="04E58912" w:rsidR="3380FE62" w:rsidRDefault="3380FE62" w:rsidP="3380FE62"/>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590FA1EC" w14:textId="77777777" w:rsidR="0067343B" w:rsidRDefault="0067343B" w:rsidP="0067343B">
      <w:pPr>
        <w:pStyle w:val="Title"/>
        <w:spacing w:after="0"/>
        <w:ind w:firstLine="567"/>
        <w:rPr>
          <w:b w:val="0"/>
          <w:bCs w:val="0"/>
          <w:sz w:val="24"/>
          <w:szCs w:val="24"/>
        </w:rPr>
      </w:pPr>
      <w:r>
        <w:rPr>
          <w:b w:val="0"/>
          <w:bCs w:val="0"/>
          <w:sz w:val="24"/>
          <w:szCs w:val="24"/>
        </w:rPr>
        <w:t>Auckland Unitary Plan</w:t>
      </w:r>
    </w:p>
    <w:p w14:paraId="092BC227" w14:textId="67F8995C" w:rsidR="00403AAF" w:rsidRPr="00B46B49" w:rsidRDefault="001D71C6" w:rsidP="00820245">
      <w:pPr>
        <w:pStyle w:val="Title"/>
        <w:spacing w:before="0" w:after="0"/>
        <w:ind w:left="567"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162E6864" w14:textId="77777777" w:rsidR="00FF07A2" w:rsidRPr="00BF1568" w:rsidRDefault="00FF07A2" w:rsidP="00FF07A2">
      <w:pPr>
        <w:pStyle w:val="Subtitle"/>
        <w:spacing w:before="0" w:after="0"/>
        <w:ind w:right="3259" w:firstLine="567"/>
        <w:rPr>
          <w:sz w:val="40"/>
          <w:szCs w:val="22"/>
        </w:rPr>
      </w:pPr>
      <w:r>
        <w:rPr>
          <w:sz w:val="40"/>
          <w:szCs w:val="22"/>
        </w:rPr>
        <w:t>Myrtle Rust</w:t>
      </w:r>
    </w:p>
    <w:p w14:paraId="5E118047" w14:textId="61B033D5" w:rsidR="00CD52EF" w:rsidRDefault="00CD52EF" w:rsidP="00820245">
      <w:pPr>
        <w:pStyle w:val="ListBullet3"/>
        <w:numPr>
          <w:ilvl w:val="0"/>
          <w:numId w:val="0"/>
        </w:numPr>
        <w:ind w:left="567" w:right="1416"/>
        <w:rPr>
          <w:sz w:val="22"/>
          <w:szCs w:val="20"/>
        </w:rPr>
      </w:pPr>
    </w:p>
    <w:p w14:paraId="3FC155A9" w14:textId="77777777" w:rsidR="003D0BCF" w:rsidRDefault="003D0BCF" w:rsidP="00820245">
      <w:pPr>
        <w:pStyle w:val="ListBullet3"/>
        <w:numPr>
          <w:ilvl w:val="0"/>
          <w:numId w:val="0"/>
        </w:numPr>
        <w:ind w:left="567" w:right="1416"/>
        <w:rPr>
          <w:sz w:val="22"/>
          <w:szCs w:val="20"/>
        </w:rPr>
      </w:pPr>
    </w:p>
    <w:p w14:paraId="503473ED" w14:textId="79845C56" w:rsidR="00D42A71" w:rsidRDefault="00D42A71" w:rsidP="00820245">
      <w:pPr>
        <w:pStyle w:val="ListBullet3"/>
        <w:numPr>
          <w:ilvl w:val="0"/>
          <w:numId w:val="0"/>
        </w:numPr>
        <w:ind w:left="567" w:right="1416"/>
        <w:rPr>
          <w:sz w:val="22"/>
          <w:szCs w:val="20"/>
        </w:rPr>
      </w:pPr>
    </w:p>
    <w:p w14:paraId="02F70AED" w14:textId="77777777" w:rsidR="00464175" w:rsidRPr="00D42A71" w:rsidRDefault="00464175" w:rsidP="00820245">
      <w:pPr>
        <w:pStyle w:val="Heading3"/>
        <w:rPr>
          <w:sz w:val="22"/>
          <w:szCs w:val="24"/>
        </w:rPr>
      </w:pPr>
      <w:r w:rsidRPr="00D42A71">
        <w:rPr>
          <w:sz w:val="22"/>
          <w:szCs w:val="24"/>
        </w:rPr>
        <w:t>Disclaimer</w:t>
      </w:r>
    </w:p>
    <w:p w14:paraId="5A31EDE5" w14:textId="020AF4D6" w:rsidR="00D415A4" w:rsidRPr="00D415A4" w:rsidRDefault="00D415A4" w:rsidP="00D415A4">
      <w:pPr>
        <w:spacing w:before="1" w:after="120"/>
        <w:ind w:left="567" w:right="418"/>
        <w:rPr>
          <w:rFonts w:eastAsia="Calibri" w:cs="Times New Roman"/>
          <w:i/>
          <w:iCs/>
          <w:sz w:val="22"/>
        </w:rPr>
      </w:pPr>
      <w:r w:rsidRPr="00D415A4">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p w14:paraId="4880599C" w14:textId="77777777" w:rsidR="00D415A4" w:rsidRPr="00D415A4" w:rsidRDefault="00D415A4" w:rsidP="00E326AC">
      <w:pPr>
        <w:numPr>
          <w:ilvl w:val="0"/>
          <w:numId w:val="9"/>
        </w:numPr>
        <w:spacing w:after="120"/>
        <w:contextualSpacing/>
        <w:rPr>
          <w:rFonts w:eastAsia="Times New Roman" w:cs="Arial"/>
          <w:i/>
          <w:iCs/>
          <w:color w:val="000000"/>
          <w:sz w:val="22"/>
          <w:szCs w:val="24"/>
          <w:lang w:eastAsia="en-GB"/>
        </w:rPr>
      </w:pPr>
      <w:r w:rsidRPr="00D415A4">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7EFA9354" w14:textId="77777777" w:rsidR="00D415A4" w:rsidRPr="00D415A4" w:rsidRDefault="00D415A4" w:rsidP="00E326AC">
      <w:pPr>
        <w:numPr>
          <w:ilvl w:val="0"/>
          <w:numId w:val="9"/>
        </w:numPr>
        <w:spacing w:after="120"/>
        <w:contextualSpacing/>
        <w:rPr>
          <w:rFonts w:eastAsia="Times New Roman" w:cs="Arial"/>
          <w:i/>
          <w:iCs/>
          <w:color w:val="000000"/>
          <w:sz w:val="22"/>
          <w:szCs w:val="24"/>
          <w:lang w:eastAsia="en-GB"/>
        </w:rPr>
      </w:pPr>
      <w:r w:rsidRPr="00D415A4">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6DF2FFAA" w14:textId="77777777" w:rsidR="00D415A4" w:rsidRPr="00D415A4" w:rsidRDefault="00D415A4" w:rsidP="00E326AC">
      <w:pPr>
        <w:numPr>
          <w:ilvl w:val="0"/>
          <w:numId w:val="9"/>
        </w:numPr>
        <w:spacing w:after="120"/>
        <w:contextualSpacing/>
        <w:rPr>
          <w:rFonts w:eastAsia="Times New Roman" w:cs="Arial"/>
          <w:i/>
          <w:iCs/>
          <w:color w:val="000000"/>
          <w:sz w:val="22"/>
          <w:szCs w:val="24"/>
          <w:lang w:eastAsia="en-GB"/>
        </w:rPr>
      </w:pPr>
      <w:r w:rsidRPr="00D415A4">
        <w:rPr>
          <w:rFonts w:eastAsia="Times New Roman" w:cs="Arial"/>
          <w:i/>
          <w:iCs/>
          <w:color w:val="000000"/>
          <w:sz w:val="22"/>
          <w:szCs w:val="24"/>
          <w:lang w:eastAsia="en-GB"/>
        </w:rPr>
        <w:t>Further guidance as to whether to apply the conditions are included in the guidance notes that accompanies each condition.</w:t>
      </w:r>
    </w:p>
    <w:p w14:paraId="1E470A3B" w14:textId="77777777" w:rsidR="00D415A4" w:rsidRPr="00D415A4" w:rsidRDefault="00D415A4" w:rsidP="00E326AC">
      <w:pPr>
        <w:numPr>
          <w:ilvl w:val="0"/>
          <w:numId w:val="9"/>
        </w:numPr>
        <w:spacing w:after="120"/>
        <w:contextualSpacing/>
        <w:rPr>
          <w:rFonts w:eastAsia="Times New Roman" w:cs="Arial"/>
          <w:i/>
          <w:iCs/>
          <w:color w:val="000000"/>
          <w:sz w:val="22"/>
          <w:szCs w:val="24"/>
          <w:lang w:eastAsia="en-GB"/>
        </w:rPr>
      </w:pPr>
      <w:r w:rsidRPr="00D415A4">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26603B73" w14:textId="77777777" w:rsidR="00D415A4" w:rsidRPr="00D415A4" w:rsidRDefault="00D415A4" w:rsidP="00E326AC">
      <w:pPr>
        <w:numPr>
          <w:ilvl w:val="0"/>
          <w:numId w:val="9"/>
        </w:numPr>
        <w:spacing w:after="120"/>
        <w:contextualSpacing/>
        <w:rPr>
          <w:rFonts w:eastAsia="Times New Roman" w:cs="Arial"/>
          <w:i/>
          <w:iCs/>
          <w:color w:val="000000"/>
          <w:sz w:val="22"/>
          <w:szCs w:val="24"/>
          <w:lang w:eastAsia="en-GB"/>
        </w:rPr>
      </w:pPr>
      <w:r w:rsidRPr="00D415A4">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1A3DEB"/>
    <w:p w14:paraId="1F7D02A9" w14:textId="33411887" w:rsidR="001A3DEB" w:rsidRPr="001A3DEB" w:rsidRDefault="001A3DEB" w:rsidP="001A3DEB"/>
    <w:p w14:paraId="2193B961" w14:textId="234DFBF8" w:rsidR="001A3DEB" w:rsidRPr="001A3DEB" w:rsidRDefault="001A3DEB" w:rsidP="001A3DEB"/>
    <w:bookmarkEnd w:id="0"/>
    <w:p w14:paraId="07F9A8C6" w14:textId="218D261E" w:rsidR="008A6F74" w:rsidRPr="00113293" w:rsidRDefault="00FF07A2" w:rsidP="008F0654">
      <w:pPr>
        <w:pStyle w:val="Heading2"/>
      </w:pPr>
      <w:r>
        <w:t>Introduction</w:t>
      </w:r>
    </w:p>
    <w:p w14:paraId="7B524CF7" w14:textId="4B1EE1A1" w:rsidR="00FF07A2" w:rsidRPr="00FF07A2" w:rsidRDefault="00FF07A2" w:rsidP="49A63611">
      <w:pPr>
        <w:pStyle w:val="ACBodyText"/>
        <w:rPr>
          <w:rFonts w:eastAsiaTheme="minorEastAsia"/>
        </w:rPr>
      </w:pPr>
      <w:bookmarkStart w:id="1" w:name="_Toc491179237"/>
      <w:r w:rsidRPr="49A63611">
        <w:rPr>
          <w:rFonts w:eastAsiaTheme="minorEastAsia"/>
        </w:rPr>
        <w:t>The condition below “</w:t>
      </w:r>
      <w:r w:rsidRPr="49A63611">
        <w:rPr>
          <w:lang w:eastAsia="en-NZ"/>
        </w:rPr>
        <w:t xml:space="preserve">Certification of </w:t>
      </w:r>
      <w:proofErr w:type="spellStart"/>
      <w:r w:rsidRPr="49A63611">
        <w:rPr>
          <w:lang w:eastAsia="en-NZ"/>
        </w:rPr>
        <w:t>Myrtaceae</w:t>
      </w:r>
      <w:proofErr w:type="spellEnd"/>
      <w:r w:rsidRPr="49A63611">
        <w:rPr>
          <w:lang w:eastAsia="en-NZ"/>
        </w:rPr>
        <w:t xml:space="preserve"> species for planting” </w:t>
      </w:r>
      <w:r w:rsidRPr="49A63611">
        <w:rPr>
          <w:rFonts w:eastAsiaTheme="minorEastAsia"/>
        </w:rPr>
        <w:t>relates to the management of Myrtle rust (</w:t>
      </w:r>
      <w:proofErr w:type="spellStart"/>
      <w:r w:rsidRPr="49A63611">
        <w:rPr>
          <w:rFonts w:eastAsiaTheme="minorEastAsia"/>
          <w:i/>
          <w:iCs/>
        </w:rPr>
        <w:t>Austropuccinia</w:t>
      </w:r>
      <w:proofErr w:type="spellEnd"/>
      <w:r w:rsidRPr="49A63611">
        <w:rPr>
          <w:rFonts w:eastAsiaTheme="minorEastAsia"/>
          <w:i/>
          <w:iCs/>
        </w:rPr>
        <w:t xml:space="preserve"> </w:t>
      </w:r>
      <w:proofErr w:type="spellStart"/>
      <w:r w:rsidRPr="49A63611">
        <w:rPr>
          <w:rFonts w:eastAsiaTheme="minorEastAsia"/>
          <w:i/>
          <w:iCs/>
        </w:rPr>
        <w:t>psidii</w:t>
      </w:r>
      <w:proofErr w:type="spellEnd"/>
      <w:r w:rsidRPr="49A63611">
        <w:rPr>
          <w:rFonts w:eastAsiaTheme="minorEastAsia"/>
        </w:rPr>
        <w:t xml:space="preserve">) which is a serious fungal disease that affects plants in the myrtle family (family </w:t>
      </w:r>
      <w:proofErr w:type="spellStart"/>
      <w:r w:rsidRPr="49A63611">
        <w:rPr>
          <w:rFonts w:eastAsiaTheme="minorEastAsia"/>
        </w:rPr>
        <w:t>Myrtaceae</w:t>
      </w:r>
      <w:proofErr w:type="spellEnd"/>
      <w:r w:rsidRPr="49A63611">
        <w:rPr>
          <w:rFonts w:eastAsiaTheme="minorEastAsia"/>
        </w:rPr>
        <w:t xml:space="preserve">). The disease has recently (May 2017) been detected in a number of New Zealand locations for the first time.  </w:t>
      </w:r>
      <w:r>
        <w:br/>
      </w:r>
    </w:p>
    <w:p w14:paraId="1F5F8A5B" w14:textId="77777777" w:rsidR="00FF07A2" w:rsidRPr="000B1986" w:rsidRDefault="00FF07A2" w:rsidP="00FF07A2">
      <w:pPr>
        <w:pStyle w:val="Heading3"/>
        <w:rPr>
          <w:rFonts w:eastAsiaTheme="minorHAnsi"/>
        </w:rPr>
      </w:pPr>
      <w:r w:rsidRPr="000B1986">
        <w:rPr>
          <w:rFonts w:eastAsiaTheme="minorHAnsi"/>
        </w:rPr>
        <w:t>Myrtle Rust and its management in the industry</w:t>
      </w:r>
    </w:p>
    <w:p w14:paraId="2F4B8AD1" w14:textId="580AB2F9" w:rsidR="00FF07A2" w:rsidRDefault="00FF07A2" w:rsidP="49A63611">
      <w:pPr>
        <w:pStyle w:val="ACBodyText"/>
        <w:rPr>
          <w:rFonts w:eastAsiaTheme="minorEastAsia"/>
        </w:rPr>
      </w:pPr>
      <w:r w:rsidRPr="49A63611">
        <w:rPr>
          <w:rFonts w:eastAsiaTheme="minorEastAsia"/>
        </w:rPr>
        <w:t>Myrtle rust is found in many parts of the world including New Caledonia and all along Australia's eastern seaboard. Myrtle rust spores are microscopic and can easily spread across large distances by wind, or via insects, birds, people, or machinery. The spores are thought to be capable of crossing the Tasman Sea from Australia to New Zealand on wind currents.</w:t>
      </w:r>
    </w:p>
    <w:p w14:paraId="001951E4" w14:textId="6920AABB" w:rsidR="00FF07A2" w:rsidRDefault="00FF07A2" w:rsidP="3BF96610">
      <w:pPr>
        <w:pStyle w:val="ACBodyText"/>
        <w:rPr>
          <w:rFonts w:eastAsiaTheme="minorEastAsia"/>
        </w:rPr>
      </w:pPr>
      <w:r w:rsidRPr="3BF96610">
        <w:rPr>
          <w:rFonts w:eastAsiaTheme="minorEastAsia"/>
        </w:rPr>
        <w:t xml:space="preserve">The disease poses a severe threat to important native species including </w:t>
      </w:r>
      <w:r w:rsidR="00207C3F" w:rsidRPr="3BF96610">
        <w:rPr>
          <w:rFonts w:eastAsiaTheme="minorEastAsia"/>
        </w:rPr>
        <w:t>m</w:t>
      </w:r>
      <w:r w:rsidR="00207C3F" w:rsidRPr="3BF96610">
        <w:rPr>
          <w:rFonts w:eastAsiaTheme="minorEastAsia" w:cs="Arial"/>
        </w:rPr>
        <w:t>a</w:t>
      </w:r>
      <w:r w:rsidR="00207C3F" w:rsidRPr="3BF96610">
        <w:rPr>
          <w:rFonts w:eastAsiaTheme="minorEastAsia"/>
        </w:rPr>
        <w:t>nuka</w:t>
      </w:r>
      <w:r w:rsidRPr="3BF96610">
        <w:rPr>
          <w:rFonts w:eastAsiaTheme="minorEastAsia"/>
        </w:rPr>
        <w:t xml:space="preserve"> and </w:t>
      </w:r>
      <w:r w:rsidR="00207C3F" w:rsidRPr="3BF96610">
        <w:rPr>
          <w:rFonts w:eastAsiaTheme="minorEastAsia"/>
        </w:rPr>
        <w:t>k</w:t>
      </w:r>
      <w:r w:rsidR="00207C3F" w:rsidRPr="3BF96610">
        <w:rPr>
          <w:rFonts w:eastAsiaTheme="minorEastAsia" w:cs="Arial"/>
        </w:rPr>
        <w:t>a</w:t>
      </w:r>
      <w:r w:rsidR="00207C3F" w:rsidRPr="3BF96610">
        <w:rPr>
          <w:rFonts w:eastAsiaTheme="minorEastAsia"/>
        </w:rPr>
        <w:t>nuka</w:t>
      </w:r>
      <w:r w:rsidRPr="3BF96610">
        <w:rPr>
          <w:rFonts w:eastAsiaTheme="minorEastAsia"/>
        </w:rPr>
        <w:t xml:space="preserve">, which are commonly used in revegetation plantings, along with </w:t>
      </w:r>
      <w:proofErr w:type="spellStart"/>
      <w:r w:rsidRPr="00207C3F">
        <w:rPr>
          <w:rFonts w:eastAsiaTheme="minorEastAsia" w:cs="Arial"/>
        </w:rPr>
        <w:t>p</w:t>
      </w:r>
      <w:r w:rsidR="00207C3F" w:rsidRPr="00207C3F">
        <w:rPr>
          <w:rFonts w:eastAsiaTheme="minorEastAsia" w:cs="Arial"/>
        </w:rPr>
        <w:t>o</w:t>
      </w:r>
      <w:r w:rsidRPr="00207C3F">
        <w:rPr>
          <w:rFonts w:eastAsiaTheme="minorEastAsia" w:cs="Arial"/>
        </w:rPr>
        <w:t>hutukawa</w:t>
      </w:r>
      <w:proofErr w:type="spellEnd"/>
      <w:r w:rsidRPr="3BF96610">
        <w:rPr>
          <w:rFonts w:eastAsiaTheme="minorEastAsia"/>
        </w:rPr>
        <w:t>, various r</w:t>
      </w:r>
      <w:r w:rsidR="002D5C16" w:rsidRPr="3BF96610">
        <w:rPr>
          <w:rFonts w:eastAsiaTheme="minorEastAsia" w:cs="Arial"/>
        </w:rPr>
        <w:t>ā</w:t>
      </w:r>
      <w:r w:rsidRPr="3BF96610">
        <w:rPr>
          <w:rFonts w:eastAsiaTheme="minorEastAsia"/>
        </w:rPr>
        <w:t>t</w:t>
      </w:r>
      <w:r w:rsidR="002D5C16" w:rsidRPr="3BF96610">
        <w:rPr>
          <w:rFonts w:eastAsiaTheme="minorEastAsia" w:cs="Arial"/>
        </w:rPr>
        <w:t>ā</w:t>
      </w:r>
      <w:r w:rsidRPr="3BF96610">
        <w:rPr>
          <w:rFonts w:eastAsiaTheme="minorEastAsia"/>
        </w:rPr>
        <w:t xml:space="preserve"> species and </w:t>
      </w:r>
      <w:proofErr w:type="spellStart"/>
      <w:r w:rsidR="00641211" w:rsidRPr="3BF96610">
        <w:rPr>
          <w:rFonts w:eastAsiaTheme="minorEastAsia"/>
        </w:rPr>
        <w:t>maire</w:t>
      </w:r>
      <w:proofErr w:type="spellEnd"/>
      <w:r w:rsidR="00641211" w:rsidRPr="3BF96610">
        <w:rPr>
          <w:rFonts w:eastAsiaTheme="minorEastAsia"/>
        </w:rPr>
        <w:t xml:space="preserve"> </w:t>
      </w:r>
      <w:proofErr w:type="spellStart"/>
      <w:r w:rsidR="00641211" w:rsidRPr="3BF96610">
        <w:rPr>
          <w:rFonts w:eastAsiaTheme="minorEastAsia"/>
        </w:rPr>
        <w:t>tawak</w:t>
      </w:r>
      <w:r w:rsidR="00F03D58" w:rsidRPr="3BF96610">
        <w:rPr>
          <w:rFonts w:eastAsiaTheme="minorEastAsia"/>
        </w:rPr>
        <w:t>e</w:t>
      </w:r>
      <w:proofErr w:type="spellEnd"/>
      <w:r w:rsidRPr="3BF96610">
        <w:rPr>
          <w:rFonts w:eastAsiaTheme="minorEastAsia"/>
        </w:rPr>
        <w:t>. The disease also affects a range of exotic species such as eucalyptus, feijoa, guava</w:t>
      </w:r>
      <w:r w:rsidR="4E5ABE73" w:rsidRPr="3BF96610">
        <w:rPr>
          <w:rFonts w:eastAsiaTheme="minorEastAsia"/>
        </w:rPr>
        <w:t xml:space="preserve">, </w:t>
      </w:r>
      <w:proofErr w:type="spellStart"/>
      <w:proofErr w:type="gramStart"/>
      <w:r w:rsidR="4E5ABE73" w:rsidRPr="3BF96610">
        <w:rPr>
          <w:rFonts w:eastAsiaTheme="minorEastAsia"/>
        </w:rPr>
        <w:t>lilly-pilly</w:t>
      </w:r>
      <w:proofErr w:type="spellEnd"/>
      <w:proofErr w:type="gramEnd"/>
      <w:r w:rsidRPr="3BF96610">
        <w:rPr>
          <w:rFonts w:eastAsiaTheme="minorEastAsia"/>
        </w:rPr>
        <w:t xml:space="preserve"> and bottlebrushes.</w:t>
      </w:r>
    </w:p>
    <w:p w14:paraId="666742C3" w14:textId="549CBFE2" w:rsidR="00FF07A2" w:rsidRDefault="00FF07A2" w:rsidP="67BBE2D1">
      <w:pPr>
        <w:pStyle w:val="ACBodyText"/>
        <w:rPr>
          <w:rStyle w:val="Hyperlink"/>
          <w:rFonts w:eastAsiaTheme="minorEastAsia"/>
        </w:rPr>
      </w:pPr>
      <w:r w:rsidRPr="644D8557">
        <w:rPr>
          <w:rFonts w:eastAsiaTheme="minorEastAsia"/>
        </w:rPr>
        <w:t xml:space="preserve">Under the Biosecurity Act, myrtle rust has legal status as a Notifiable and Unwanted Organism. Any suspect finds should be reported </w:t>
      </w:r>
      <w:r w:rsidR="005C7B56" w:rsidRPr="644D8557">
        <w:rPr>
          <w:rFonts w:eastAsiaTheme="minorEastAsia"/>
        </w:rPr>
        <w:t xml:space="preserve">via </w:t>
      </w:r>
      <w:proofErr w:type="spellStart"/>
      <w:r w:rsidR="005C7B56" w:rsidRPr="644D8557">
        <w:rPr>
          <w:rFonts w:eastAsiaTheme="minorEastAsia"/>
        </w:rPr>
        <w:t>iNaturalist</w:t>
      </w:r>
      <w:proofErr w:type="spellEnd"/>
      <w:r w:rsidRPr="644D8557">
        <w:rPr>
          <w:rFonts w:eastAsiaTheme="minorEastAsia"/>
        </w:rPr>
        <w:t xml:space="preserve"> in the first instance (and </w:t>
      </w:r>
      <w:r w:rsidR="005F1804" w:rsidRPr="644D8557">
        <w:rPr>
          <w:rFonts w:eastAsiaTheme="minorEastAsia"/>
        </w:rPr>
        <w:t>to biosecurity@aklc.govt.nz</w:t>
      </w:r>
      <w:r w:rsidRPr="644D8557">
        <w:rPr>
          <w:rFonts w:eastAsiaTheme="minorEastAsia"/>
        </w:rPr>
        <w:t xml:space="preserve">).  Further information on the disease, including how to recognise it and what to do if it is suspected, is on the </w:t>
      </w:r>
      <w:r w:rsidR="005C7B56" w:rsidRPr="644D8557">
        <w:rPr>
          <w:rFonts w:eastAsiaTheme="minorEastAsia"/>
        </w:rPr>
        <w:t>Ministry for Primary Industries (</w:t>
      </w:r>
      <w:r w:rsidRPr="644D8557">
        <w:rPr>
          <w:rFonts w:eastAsiaTheme="minorEastAsia"/>
        </w:rPr>
        <w:t>MPI</w:t>
      </w:r>
      <w:r w:rsidR="005C7B56" w:rsidRPr="644D8557">
        <w:rPr>
          <w:rFonts w:eastAsiaTheme="minorEastAsia"/>
        </w:rPr>
        <w:t>)</w:t>
      </w:r>
      <w:r w:rsidRPr="644D8557">
        <w:rPr>
          <w:rFonts w:eastAsiaTheme="minorEastAsia"/>
        </w:rPr>
        <w:t xml:space="preserve"> website: </w:t>
      </w:r>
      <w:hyperlink r:id="rId12">
        <w:r w:rsidRPr="644D8557">
          <w:rPr>
            <w:rStyle w:val="Hyperlink"/>
            <w:rFonts w:eastAsiaTheme="minorEastAsia"/>
          </w:rPr>
          <w:t>https://www.mpi.govt.nz/protection-and-response/responding/alerts/myrtle-rust/</w:t>
        </w:r>
      </w:hyperlink>
    </w:p>
    <w:p w14:paraId="22790FC1" w14:textId="2320E2DB" w:rsidR="00FF07A2" w:rsidRDefault="00FF07A2">
      <w:pPr>
        <w:pStyle w:val="ACBodyText"/>
        <w:rPr>
          <w:rFonts w:eastAsiaTheme="minorEastAsia"/>
        </w:rPr>
      </w:pPr>
      <w:r w:rsidRPr="0EABB3A1">
        <w:rPr>
          <w:rFonts w:eastAsiaTheme="minorEastAsia"/>
        </w:rPr>
        <w:t xml:space="preserve">The NZ Plant Producers Incorporated (NZPPI) has developed a series of </w:t>
      </w:r>
      <w:r w:rsidR="005F1804" w:rsidRPr="0EABB3A1">
        <w:rPr>
          <w:rFonts w:eastAsiaTheme="minorEastAsia"/>
        </w:rPr>
        <w:t>certifications</w:t>
      </w:r>
      <w:r w:rsidRPr="0EABB3A1">
        <w:rPr>
          <w:rFonts w:eastAsiaTheme="minorEastAsia"/>
        </w:rPr>
        <w:t xml:space="preserve"> for industry members to manage the risk of infection and spread of the disease. </w:t>
      </w:r>
      <w:r w:rsidR="509C7C57" w:rsidRPr="0EABB3A1">
        <w:rPr>
          <w:rFonts w:eastAsiaTheme="minorEastAsia"/>
        </w:rPr>
        <w:t xml:space="preserve">These certifications ensure </w:t>
      </w:r>
      <w:r w:rsidR="005F1804" w:rsidRPr="0EABB3A1">
        <w:rPr>
          <w:rFonts w:eastAsiaTheme="minorEastAsia"/>
        </w:rPr>
        <w:t>that plant</w:t>
      </w:r>
      <w:r w:rsidR="408C555E" w:rsidRPr="0EABB3A1">
        <w:rPr>
          <w:rFonts w:eastAsiaTheme="minorEastAsia"/>
        </w:rPr>
        <w:t xml:space="preserve"> producers have bio</w:t>
      </w:r>
      <w:r w:rsidR="2FEEEEF0" w:rsidRPr="0EABB3A1">
        <w:rPr>
          <w:rFonts w:eastAsiaTheme="minorEastAsia"/>
        </w:rPr>
        <w:t>security practices and risk management in place to red</w:t>
      </w:r>
      <w:r w:rsidR="477FB056" w:rsidRPr="0EABB3A1">
        <w:rPr>
          <w:rFonts w:eastAsiaTheme="minorEastAsia"/>
        </w:rPr>
        <w:t>u</w:t>
      </w:r>
      <w:r w:rsidR="2FEEEEF0" w:rsidRPr="0EABB3A1">
        <w:rPr>
          <w:rFonts w:eastAsiaTheme="minorEastAsia"/>
        </w:rPr>
        <w:t>ce the lik</w:t>
      </w:r>
      <w:r w:rsidR="1F9BFC46" w:rsidRPr="0EABB3A1">
        <w:rPr>
          <w:rFonts w:eastAsiaTheme="minorEastAsia"/>
        </w:rPr>
        <w:t>e</w:t>
      </w:r>
      <w:r w:rsidR="2FEEEEF0" w:rsidRPr="0EABB3A1">
        <w:rPr>
          <w:rFonts w:eastAsiaTheme="minorEastAsia"/>
        </w:rPr>
        <w:t>lihood of a pest or disease establishing in</w:t>
      </w:r>
      <w:r w:rsidR="2B7B9C78" w:rsidRPr="0EABB3A1">
        <w:rPr>
          <w:rFonts w:eastAsiaTheme="minorEastAsia"/>
        </w:rPr>
        <w:t xml:space="preserve"> </w:t>
      </w:r>
      <w:r w:rsidR="2FEEEEF0" w:rsidRPr="0EABB3A1">
        <w:rPr>
          <w:rFonts w:eastAsiaTheme="minorEastAsia"/>
        </w:rPr>
        <w:t xml:space="preserve">a nursery and being spread by the domestic plant trade. </w:t>
      </w:r>
      <w:r w:rsidR="005F1804" w:rsidRPr="0EABB3A1">
        <w:rPr>
          <w:lang w:val="en-GB"/>
        </w:rPr>
        <w:t>Additional</w:t>
      </w:r>
      <w:r w:rsidR="4DE646BA" w:rsidRPr="0EABB3A1">
        <w:rPr>
          <w:lang w:val="en-GB"/>
        </w:rPr>
        <w:t xml:space="preserve"> information on the certification process can be found on the </w:t>
      </w:r>
      <w:r w:rsidR="7E7CA253" w:rsidRPr="0EABB3A1">
        <w:rPr>
          <w:rFonts w:eastAsiaTheme="minorEastAsia"/>
        </w:rPr>
        <w:t>Plant Pass</w:t>
      </w:r>
      <w:r w:rsidR="4DE646BA" w:rsidRPr="0EABB3A1">
        <w:rPr>
          <w:lang w:val="en-GB"/>
        </w:rPr>
        <w:t xml:space="preserve"> website</w:t>
      </w:r>
      <w:r w:rsidR="35C31A18" w:rsidRPr="0EABB3A1">
        <w:rPr>
          <w:lang w:val="en-GB"/>
        </w:rPr>
        <w:t xml:space="preserve"> </w:t>
      </w:r>
      <w:hyperlink r:id="rId13" w:history="1">
        <w:r w:rsidR="35C31A18" w:rsidRPr="0EABB3A1">
          <w:rPr>
            <w:rStyle w:val="Hyperlink"/>
            <w:lang w:val="en-GB"/>
          </w:rPr>
          <w:t>www.plantpass.org.nz</w:t>
        </w:r>
      </w:hyperlink>
      <w:r w:rsidR="35C31A18" w:rsidRPr="0EABB3A1">
        <w:rPr>
          <w:lang w:val="en-GB"/>
        </w:rPr>
        <w:t xml:space="preserve">. </w:t>
      </w:r>
      <w:r w:rsidR="4DE646BA" w:rsidRPr="0EABB3A1">
        <w:rPr>
          <w:lang w:val="en-GB"/>
        </w:rPr>
        <w:t xml:space="preserve"> </w:t>
      </w:r>
      <w:r w:rsidR="17D2F2AC" w:rsidRPr="0EABB3A1">
        <w:rPr>
          <w:lang w:val="en-GB"/>
        </w:rPr>
        <w:t xml:space="preserve">Additional information on </w:t>
      </w:r>
      <w:r w:rsidR="009212E3" w:rsidRPr="0EABB3A1">
        <w:rPr>
          <w:lang w:val="en-GB"/>
        </w:rPr>
        <w:t xml:space="preserve">Myrtle Rust </w:t>
      </w:r>
      <w:r w:rsidR="2A8283B6" w:rsidRPr="0EABB3A1">
        <w:rPr>
          <w:lang w:val="en-GB"/>
        </w:rPr>
        <w:t xml:space="preserve">and current management protocols </w:t>
      </w:r>
      <w:r w:rsidRPr="0EABB3A1">
        <w:rPr>
          <w:rFonts w:eastAsiaTheme="minorEastAsia"/>
        </w:rPr>
        <w:t xml:space="preserve">can be found on the NZPPI </w:t>
      </w:r>
      <w:hyperlink r:id="rId14" w:history="1">
        <w:r w:rsidR="00B52063" w:rsidRPr="0022364B">
          <w:rPr>
            <w:rStyle w:val="Hyperlink"/>
            <w:rFonts w:cs="Arial"/>
            <w:i/>
            <w:iCs/>
          </w:rPr>
          <w:t>https://nzppi.co.nz/CURRENT-THREATS/19727-s119533/</w:t>
        </w:r>
      </w:hyperlink>
    </w:p>
    <w:p w14:paraId="195E2938" w14:textId="77777777" w:rsidR="00FF07A2" w:rsidRDefault="00FF07A2" w:rsidP="00FF07A2">
      <w:pPr>
        <w:pStyle w:val="ACBodyText"/>
        <w:rPr>
          <w:rFonts w:eastAsiaTheme="minorHAnsi"/>
        </w:rPr>
      </w:pPr>
    </w:p>
    <w:p w14:paraId="4C601578" w14:textId="77777777" w:rsidR="00FF07A2" w:rsidRPr="004113E3" w:rsidRDefault="00FF07A2" w:rsidP="00FF07A2">
      <w:pPr>
        <w:pStyle w:val="Heading3"/>
        <w:rPr>
          <w:rFonts w:eastAsiaTheme="minorHAnsi"/>
        </w:rPr>
      </w:pPr>
      <w:r w:rsidRPr="004113E3">
        <w:rPr>
          <w:rFonts w:eastAsiaTheme="minorHAnsi"/>
        </w:rPr>
        <w:t>The Council’s obligations in relation to Myrtle Rust</w:t>
      </w:r>
    </w:p>
    <w:p w14:paraId="1D248B6A" w14:textId="6B4D6FE4" w:rsidR="00FF07A2" w:rsidRDefault="00FF07A2" w:rsidP="00FF07A2">
      <w:pPr>
        <w:spacing w:after="200"/>
        <w:ind w:left="567"/>
        <w:rPr>
          <w:rFonts w:cstheme="majorBidi"/>
          <w:bCs/>
          <w:sz w:val="22"/>
          <w:szCs w:val="28"/>
        </w:rPr>
      </w:pPr>
      <w:r w:rsidRPr="00FF4AA9">
        <w:rPr>
          <w:rFonts w:cstheme="majorBidi"/>
          <w:bCs/>
          <w:sz w:val="22"/>
          <w:szCs w:val="28"/>
        </w:rPr>
        <w:t xml:space="preserve">Both the RMA and the Biosecurity Act have roles to play in the protection of indigenous biodiversity. Sections 30 and 31 of the RMA require the council to maintain </w:t>
      </w:r>
      <w:r w:rsidRPr="00FF4AA9">
        <w:rPr>
          <w:rFonts w:cstheme="majorBidi"/>
          <w:bCs/>
          <w:sz w:val="22"/>
          <w:szCs w:val="28"/>
        </w:rPr>
        <w:lastRenderedPageBreak/>
        <w:t>indigenous biological diversity. The AUP</w:t>
      </w:r>
      <w:r w:rsidR="00EB17EA">
        <w:rPr>
          <w:rFonts w:cstheme="majorBidi"/>
          <w:bCs/>
          <w:sz w:val="22"/>
          <w:szCs w:val="28"/>
        </w:rPr>
        <w:t xml:space="preserve"> (OP)</w:t>
      </w:r>
      <w:r w:rsidRPr="00FF4AA9">
        <w:rPr>
          <w:rFonts w:cstheme="majorBidi"/>
          <w:bCs/>
          <w:sz w:val="22"/>
          <w:szCs w:val="28"/>
        </w:rPr>
        <w:t xml:space="preserve"> contains objectives, policies and rules that </w:t>
      </w:r>
      <w:r>
        <w:rPr>
          <w:rFonts w:cstheme="majorBidi"/>
          <w:bCs/>
          <w:sz w:val="22"/>
          <w:szCs w:val="28"/>
        </w:rPr>
        <w:t>aim to achieve that responsibility. The Council’s obligation to maintain indigenous biological diversity requires it to manage the risk of infection and spread of Myrtle rust.</w:t>
      </w:r>
    </w:p>
    <w:p w14:paraId="1E052DCA" w14:textId="77777777" w:rsidR="00FF07A2" w:rsidRDefault="00FF07A2" w:rsidP="00FF07A2">
      <w:pPr>
        <w:spacing w:after="200"/>
        <w:ind w:left="567"/>
        <w:rPr>
          <w:rFonts w:cstheme="majorBidi"/>
          <w:bCs/>
          <w:sz w:val="22"/>
          <w:szCs w:val="28"/>
        </w:rPr>
      </w:pPr>
      <w:r>
        <w:rPr>
          <w:rFonts w:cstheme="majorBidi"/>
          <w:bCs/>
          <w:sz w:val="22"/>
          <w:szCs w:val="28"/>
        </w:rPr>
        <w:t xml:space="preserve">The risk of infection and spread of the disease can be managed though a condition about the use of the </w:t>
      </w:r>
      <w:proofErr w:type="spellStart"/>
      <w:r>
        <w:rPr>
          <w:rFonts w:cstheme="majorBidi"/>
          <w:bCs/>
          <w:sz w:val="22"/>
          <w:szCs w:val="28"/>
        </w:rPr>
        <w:t>Myrtaceae</w:t>
      </w:r>
      <w:proofErr w:type="spellEnd"/>
      <w:r>
        <w:rPr>
          <w:rFonts w:cstheme="majorBidi"/>
          <w:bCs/>
          <w:sz w:val="22"/>
          <w:szCs w:val="28"/>
        </w:rPr>
        <w:t xml:space="preserve"> species in planting. Conditions should be imposed on any planting proposed or required by resource consent to ensure that no adverse effects on ecological and biodiversity values occur. </w:t>
      </w:r>
    </w:p>
    <w:p w14:paraId="47BA4E69" w14:textId="1076F041" w:rsidR="00FF07A2" w:rsidRDefault="00FF07A2" w:rsidP="0EABB3A1">
      <w:pPr>
        <w:spacing w:after="200"/>
        <w:ind w:left="567"/>
        <w:rPr>
          <w:rFonts w:cstheme="majorBidi"/>
          <w:sz w:val="22"/>
        </w:rPr>
      </w:pPr>
      <w:r w:rsidRPr="0EABB3A1">
        <w:rPr>
          <w:rFonts w:cstheme="majorBidi"/>
          <w:sz w:val="22"/>
        </w:rPr>
        <w:t xml:space="preserve">Planting is usually required as mitigation when existing trees are removed or through indigenous revegetation planting for subdivision. Planting might have an amenity function or an ecological function. It is important to note that the success of the planting may be jeopardised by the disease and therefore the aim of the planting may not be able to be achieved if the planting fails. If the planting is, for example, to provide visual shelter or to enhance streetscape environment and that planting fails due to Myrtle rust, the outcomes sought by the conditions may not be met. </w:t>
      </w:r>
      <w:r w:rsidR="78A8F4E4" w:rsidRPr="0EABB3A1">
        <w:rPr>
          <w:rFonts w:cstheme="majorBidi"/>
          <w:sz w:val="22"/>
        </w:rPr>
        <w:t>Therefore,</w:t>
      </w:r>
      <w:r w:rsidRPr="0EABB3A1">
        <w:rPr>
          <w:rFonts w:cstheme="majorBidi"/>
          <w:sz w:val="22"/>
        </w:rPr>
        <w:t xml:space="preserve"> both for amenity and ecological reasons it is important to impose the below condition. </w:t>
      </w:r>
    </w:p>
    <w:p w14:paraId="440B37A3" w14:textId="60F8659B" w:rsidR="00FF07A2" w:rsidRDefault="00FF07A2" w:rsidP="00FF07A2">
      <w:pPr>
        <w:spacing w:after="200"/>
        <w:ind w:left="567"/>
      </w:pPr>
      <w:r>
        <w:rPr>
          <w:rFonts w:cstheme="majorBidi"/>
          <w:bCs/>
          <w:sz w:val="22"/>
          <w:szCs w:val="28"/>
        </w:rPr>
        <w:t xml:space="preserve">Where your discretion is unfettered (discretionary or non-complying consents) you should be considering maintenance of indigenous biodiversity in your report. If your consent is a controlled activity or restricted discretionary </w:t>
      </w:r>
      <w:r w:rsidR="0089512A">
        <w:rPr>
          <w:rFonts w:cstheme="majorBidi"/>
          <w:bCs/>
          <w:sz w:val="22"/>
          <w:szCs w:val="28"/>
        </w:rPr>
        <w:t>activity,</w:t>
      </w:r>
      <w:r>
        <w:rPr>
          <w:rFonts w:cstheme="majorBidi"/>
          <w:bCs/>
          <w:sz w:val="22"/>
          <w:szCs w:val="28"/>
        </w:rPr>
        <w:t xml:space="preserve"> you will have to look to the matters for control or discretion to see whether you can impose the below condition.</w:t>
      </w:r>
      <w:r>
        <w:rPr>
          <w:rFonts w:cstheme="majorBidi"/>
          <w:bCs/>
          <w:sz w:val="22"/>
          <w:szCs w:val="28"/>
        </w:rPr>
        <w:br/>
      </w:r>
    </w:p>
    <w:p w14:paraId="7D624B91" w14:textId="73F6111A" w:rsidR="00FF07A2" w:rsidRDefault="00FF07A2" w:rsidP="00FF07A2">
      <w:pPr>
        <w:pStyle w:val="Heading3"/>
        <w:rPr>
          <w:bCs/>
          <w:sz w:val="22"/>
          <w:szCs w:val="28"/>
          <w:u w:val="single"/>
        </w:rPr>
      </w:pPr>
      <w:r>
        <w:t>Relevant AUP</w:t>
      </w:r>
      <w:r w:rsidR="00EB17EA">
        <w:t>(OP)</w:t>
      </w:r>
      <w:r>
        <w:t xml:space="preserve"> objectives and policies</w:t>
      </w:r>
    </w:p>
    <w:p w14:paraId="3EF9F455" w14:textId="0BF54310" w:rsidR="00FF07A2" w:rsidRPr="00F50551" w:rsidRDefault="00FF07A2" w:rsidP="00FF07A2">
      <w:pPr>
        <w:spacing w:after="200"/>
        <w:ind w:left="567"/>
        <w:rPr>
          <w:rFonts w:cstheme="majorBidi"/>
          <w:bCs/>
          <w:sz w:val="22"/>
          <w:szCs w:val="28"/>
          <w:u w:val="single"/>
        </w:rPr>
      </w:pPr>
      <w:r w:rsidRPr="00F50551">
        <w:rPr>
          <w:rFonts w:cstheme="majorBidi"/>
          <w:bCs/>
          <w:sz w:val="22"/>
          <w:szCs w:val="28"/>
          <w:u w:val="single"/>
        </w:rPr>
        <w:t>Vegetation management</w:t>
      </w:r>
      <w:r>
        <w:rPr>
          <w:rFonts w:cstheme="majorBidi"/>
          <w:bCs/>
          <w:sz w:val="22"/>
          <w:szCs w:val="28"/>
          <w:u w:val="single"/>
        </w:rPr>
        <w:t xml:space="preserve"> </w:t>
      </w:r>
    </w:p>
    <w:p w14:paraId="161F480F" w14:textId="77777777" w:rsidR="00FF07A2" w:rsidRDefault="00FF07A2" w:rsidP="00FF07A2">
      <w:pPr>
        <w:spacing w:after="200"/>
        <w:ind w:left="567"/>
        <w:rPr>
          <w:rFonts w:cstheme="majorBidi"/>
          <w:bCs/>
          <w:sz w:val="22"/>
          <w:szCs w:val="28"/>
        </w:rPr>
      </w:pPr>
      <w:r>
        <w:rPr>
          <w:rFonts w:cstheme="majorBidi"/>
          <w:bCs/>
          <w:sz w:val="22"/>
          <w:szCs w:val="28"/>
        </w:rPr>
        <w:t xml:space="preserve">Within chapter E15 Vegetation Management and biodiversity, all RDA activities have a matter for control relating to ecological values (E15.8.1(a)(i)). In addition, there is also a matter relating specifically to mitigation measures (such as planting) (E15.8.1(h)) which can be relied upon to impose the below conditions. </w:t>
      </w:r>
    </w:p>
    <w:tbl>
      <w:tblPr>
        <w:tblStyle w:val="TableGrid5"/>
        <w:tblW w:w="0" w:type="auto"/>
        <w:tblInd w:w="562" w:type="dxa"/>
        <w:tblLook w:val="04A0" w:firstRow="1" w:lastRow="0" w:firstColumn="1" w:lastColumn="0" w:noHBand="0" w:noVBand="1"/>
      </w:tblPr>
      <w:tblGrid>
        <w:gridCol w:w="1521"/>
        <w:gridCol w:w="1258"/>
        <w:gridCol w:w="1304"/>
        <w:gridCol w:w="1519"/>
        <w:gridCol w:w="1519"/>
        <w:gridCol w:w="1333"/>
      </w:tblGrid>
      <w:tr w:rsidR="00FF07A2" w:rsidRPr="005F3FF0" w14:paraId="40CB6CB4" w14:textId="77777777" w:rsidTr="007076BC">
        <w:tc>
          <w:tcPr>
            <w:tcW w:w="1583" w:type="dxa"/>
          </w:tcPr>
          <w:p w14:paraId="491C1F7F" w14:textId="77777777" w:rsidR="00FF07A2" w:rsidRPr="005F3FF0" w:rsidRDefault="00FF07A2" w:rsidP="007076BC">
            <w:pPr>
              <w:spacing w:after="120"/>
              <w:rPr>
                <w:rFonts w:cs="Arial"/>
                <w:iCs/>
                <w:color w:val="000000"/>
                <w:sz w:val="22"/>
                <w:szCs w:val="22"/>
                <w:lang w:eastAsia="en-GB"/>
              </w:rPr>
            </w:pPr>
            <w:r w:rsidRPr="005F3FF0">
              <w:rPr>
                <w:rFonts w:cs="Arial"/>
                <w:iCs/>
                <w:color w:val="000000"/>
                <w:sz w:val="22"/>
                <w:szCs w:val="22"/>
                <w:lang w:eastAsia="en-GB"/>
              </w:rPr>
              <w:t>Vegetation management</w:t>
            </w:r>
          </w:p>
        </w:tc>
        <w:tc>
          <w:tcPr>
            <w:tcW w:w="1583" w:type="dxa"/>
          </w:tcPr>
          <w:p w14:paraId="56F11FE1" w14:textId="77777777" w:rsidR="00FF07A2" w:rsidRPr="005F3FF0" w:rsidRDefault="00FF07A2" w:rsidP="007076BC">
            <w:pPr>
              <w:spacing w:after="120"/>
              <w:rPr>
                <w:rFonts w:cs="Arial"/>
                <w:iCs/>
                <w:color w:val="000000"/>
                <w:sz w:val="22"/>
                <w:szCs w:val="22"/>
                <w:lang w:eastAsia="en-GB"/>
              </w:rPr>
            </w:pPr>
            <w:r w:rsidRPr="005F3FF0">
              <w:rPr>
                <w:rFonts w:cs="Arial"/>
                <w:iCs/>
                <w:color w:val="000000"/>
                <w:sz w:val="22"/>
                <w:szCs w:val="22"/>
                <w:lang w:eastAsia="en-GB"/>
              </w:rPr>
              <w:t>Permitted</w:t>
            </w:r>
          </w:p>
        </w:tc>
        <w:tc>
          <w:tcPr>
            <w:tcW w:w="1583" w:type="dxa"/>
          </w:tcPr>
          <w:p w14:paraId="7B60E548" w14:textId="77777777" w:rsidR="00FF07A2" w:rsidRPr="005F3FF0" w:rsidRDefault="00FF07A2" w:rsidP="007076BC">
            <w:pPr>
              <w:spacing w:after="120"/>
              <w:rPr>
                <w:rFonts w:cs="Arial"/>
                <w:iCs/>
                <w:color w:val="000000"/>
                <w:sz w:val="22"/>
                <w:szCs w:val="22"/>
                <w:lang w:eastAsia="en-GB"/>
              </w:rPr>
            </w:pPr>
            <w:r w:rsidRPr="005F3FF0">
              <w:rPr>
                <w:rFonts w:cs="Arial"/>
                <w:iCs/>
                <w:color w:val="000000"/>
                <w:sz w:val="22"/>
                <w:szCs w:val="22"/>
                <w:lang w:eastAsia="en-GB"/>
              </w:rPr>
              <w:t>Controlled</w:t>
            </w:r>
          </w:p>
        </w:tc>
        <w:tc>
          <w:tcPr>
            <w:tcW w:w="1583" w:type="dxa"/>
          </w:tcPr>
          <w:p w14:paraId="4F490699" w14:textId="77777777" w:rsidR="00FF07A2" w:rsidRPr="005F3FF0" w:rsidRDefault="00FF07A2" w:rsidP="007076BC">
            <w:pPr>
              <w:spacing w:after="120"/>
              <w:rPr>
                <w:rFonts w:cs="Arial"/>
                <w:iCs/>
                <w:color w:val="000000"/>
                <w:sz w:val="22"/>
                <w:szCs w:val="22"/>
                <w:lang w:eastAsia="en-GB"/>
              </w:rPr>
            </w:pPr>
            <w:r w:rsidRPr="005F3FF0">
              <w:rPr>
                <w:rFonts w:cs="Arial"/>
                <w:iCs/>
                <w:color w:val="000000"/>
                <w:sz w:val="22"/>
                <w:szCs w:val="22"/>
                <w:lang w:eastAsia="en-GB"/>
              </w:rPr>
              <w:t>Restricted Discretionary</w:t>
            </w:r>
          </w:p>
        </w:tc>
        <w:tc>
          <w:tcPr>
            <w:tcW w:w="1583" w:type="dxa"/>
          </w:tcPr>
          <w:p w14:paraId="3F8EF6C5" w14:textId="77777777" w:rsidR="00FF07A2" w:rsidRPr="005F3FF0" w:rsidRDefault="00FF07A2" w:rsidP="007076BC">
            <w:pPr>
              <w:spacing w:after="120"/>
              <w:rPr>
                <w:rFonts w:cs="Arial"/>
                <w:iCs/>
                <w:color w:val="000000"/>
                <w:sz w:val="22"/>
                <w:szCs w:val="22"/>
                <w:lang w:eastAsia="en-GB"/>
              </w:rPr>
            </w:pPr>
            <w:r w:rsidRPr="005F3FF0">
              <w:rPr>
                <w:rFonts w:cs="Arial"/>
                <w:iCs/>
                <w:color w:val="000000"/>
                <w:sz w:val="22"/>
                <w:szCs w:val="22"/>
                <w:lang w:eastAsia="en-GB"/>
              </w:rPr>
              <w:t>Discretionary</w:t>
            </w:r>
          </w:p>
        </w:tc>
        <w:tc>
          <w:tcPr>
            <w:tcW w:w="1583" w:type="dxa"/>
          </w:tcPr>
          <w:p w14:paraId="6A9DBF93" w14:textId="77777777" w:rsidR="00FF07A2" w:rsidRPr="005F3FF0" w:rsidRDefault="00FF07A2" w:rsidP="007076BC">
            <w:pPr>
              <w:spacing w:after="120"/>
              <w:rPr>
                <w:rFonts w:cs="Arial"/>
                <w:iCs/>
                <w:color w:val="000000"/>
                <w:sz w:val="22"/>
                <w:szCs w:val="22"/>
                <w:lang w:eastAsia="en-GB"/>
              </w:rPr>
            </w:pPr>
            <w:proofErr w:type="gramStart"/>
            <w:r w:rsidRPr="005F3FF0">
              <w:rPr>
                <w:rFonts w:cs="Arial"/>
                <w:iCs/>
                <w:color w:val="000000"/>
                <w:sz w:val="22"/>
                <w:szCs w:val="22"/>
                <w:lang w:eastAsia="en-GB"/>
              </w:rPr>
              <w:t>Non complying</w:t>
            </w:r>
            <w:proofErr w:type="gramEnd"/>
          </w:p>
        </w:tc>
      </w:tr>
      <w:tr w:rsidR="00FF07A2" w:rsidRPr="005F3FF0" w14:paraId="46BCAB0B" w14:textId="77777777" w:rsidTr="007076BC">
        <w:tc>
          <w:tcPr>
            <w:tcW w:w="1583" w:type="dxa"/>
          </w:tcPr>
          <w:p w14:paraId="57160A5C" w14:textId="77777777" w:rsidR="00FF07A2" w:rsidRPr="005F3FF0" w:rsidRDefault="00FF07A2" w:rsidP="007076BC">
            <w:pPr>
              <w:spacing w:after="120"/>
              <w:rPr>
                <w:rFonts w:cs="Arial"/>
                <w:iCs/>
                <w:color w:val="000000"/>
                <w:sz w:val="22"/>
                <w:szCs w:val="22"/>
                <w:lang w:eastAsia="en-GB"/>
              </w:rPr>
            </w:pPr>
            <w:r w:rsidRPr="005F3FF0">
              <w:rPr>
                <w:rFonts w:cs="Arial"/>
                <w:iCs/>
                <w:color w:val="000000"/>
                <w:sz w:val="22"/>
                <w:szCs w:val="22"/>
                <w:lang w:eastAsia="en-GB"/>
              </w:rPr>
              <w:t>Auckland Wide</w:t>
            </w:r>
          </w:p>
        </w:tc>
        <w:tc>
          <w:tcPr>
            <w:tcW w:w="1583" w:type="dxa"/>
          </w:tcPr>
          <w:p w14:paraId="03984484" w14:textId="77777777" w:rsidR="00FF07A2" w:rsidRPr="005F3FF0" w:rsidRDefault="00FF07A2" w:rsidP="007076BC">
            <w:pPr>
              <w:spacing w:after="120"/>
              <w:rPr>
                <w:rFonts w:cs="Arial"/>
                <w:iCs/>
                <w:color w:val="000000"/>
                <w:sz w:val="22"/>
                <w:szCs w:val="22"/>
                <w:lang w:eastAsia="en-GB"/>
              </w:rPr>
            </w:pPr>
            <w:r w:rsidRPr="005F3FF0">
              <w:rPr>
                <w:rFonts w:cs="Arial"/>
                <w:iCs/>
                <w:color w:val="000000"/>
                <w:sz w:val="22"/>
                <w:szCs w:val="22"/>
                <w:lang w:eastAsia="en-GB"/>
              </w:rPr>
              <w:t xml:space="preserve">No control </w:t>
            </w:r>
          </w:p>
        </w:tc>
        <w:tc>
          <w:tcPr>
            <w:tcW w:w="1583" w:type="dxa"/>
          </w:tcPr>
          <w:p w14:paraId="03892E4F" w14:textId="77777777" w:rsidR="00FF07A2" w:rsidRPr="005F3FF0" w:rsidRDefault="00FF07A2" w:rsidP="007076BC">
            <w:pPr>
              <w:spacing w:after="120"/>
              <w:rPr>
                <w:rFonts w:cs="Arial"/>
                <w:iCs/>
                <w:color w:val="000000"/>
                <w:sz w:val="22"/>
                <w:szCs w:val="22"/>
                <w:lang w:eastAsia="en-GB"/>
              </w:rPr>
            </w:pPr>
            <w:r w:rsidRPr="005F3FF0">
              <w:rPr>
                <w:rFonts w:cs="Arial"/>
                <w:iCs/>
                <w:color w:val="000000"/>
                <w:sz w:val="22"/>
                <w:szCs w:val="22"/>
                <w:lang w:eastAsia="en-GB"/>
              </w:rPr>
              <w:t>No control</w:t>
            </w:r>
          </w:p>
        </w:tc>
        <w:tc>
          <w:tcPr>
            <w:tcW w:w="1583" w:type="dxa"/>
          </w:tcPr>
          <w:p w14:paraId="40C24293" w14:textId="77777777" w:rsidR="00FF07A2" w:rsidRPr="005F3FF0" w:rsidRDefault="00FF07A2" w:rsidP="007076BC">
            <w:pPr>
              <w:spacing w:after="120"/>
              <w:rPr>
                <w:rFonts w:cs="Arial"/>
                <w:iCs/>
                <w:color w:val="000000"/>
                <w:sz w:val="22"/>
                <w:szCs w:val="22"/>
                <w:lang w:eastAsia="en-GB"/>
              </w:rPr>
            </w:pPr>
            <w:r w:rsidRPr="005F3FF0">
              <w:rPr>
                <w:rFonts w:cs="Arial"/>
                <w:iCs/>
                <w:color w:val="000000"/>
                <w:sz w:val="22"/>
                <w:szCs w:val="22"/>
                <w:lang w:eastAsia="en-GB"/>
              </w:rPr>
              <w:t>Conditions can be imposed</w:t>
            </w:r>
          </w:p>
        </w:tc>
        <w:tc>
          <w:tcPr>
            <w:tcW w:w="1583" w:type="dxa"/>
          </w:tcPr>
          <w:p w14:paraId="7780CBE1" w14:textId="77777777" w:rsidR="00FF07A2" w:rsidRPr="005F3FF0" w:rsidRDefault="00FF07A2" w:rsidP="007076BC">
            <w:pPr>
              <w:spacing w:after="120"/>
              <w:rPr>
                <w:rFonts w:cs="Arial"/>
                <w:iCs/>
                <w:color w:val="000000"/>
                <w:sz w:val="22"/>
                <w:szCs w:val="22"/>
                <w:lang w:eastAsia="en-GB"/>
              </w:rPr>
            </w:pPr>
            <w:r w:rsidRPr="005F3FF0">
              <w:rPr>
                <w:rFonts w:cs="Arial"/>
                <w:iCs/>
                <w:color w:val="000000"/>
                <w:sz w:val="22"/>
                <w:szCs w:val="22"/>
                <w:lang w:eastAsia="en-GB"/>
              </w:rPr>
              <w:t>Conditions can be imposed</w:t>
            </w:r>
          </w:p>
        </w:tc>
        <w:tc>
          <w:tcPr>
            <w:tcW w:w="1583" w:type="dxa"/>
          </w:tcPr>
          <w:p w14:paraId="231A65B6" w14:textId="77777777" w:rsidR="00FF07A2" w:rsidRPr="005F3FF0" w:rsidRDefault="00FF07A2" w:rsidP="007076BC">
            <w:pPr>
              <w:spacing w:after="120"/>
              <w:rPr>
                <w:rFonts w:cs="Arial"/>
                <w:iCs/>
                <w:color w:val="000000"/>
                <w:sz w:val="22"/>
                <w:szCs w:val="22"/>
                <w:lang w:eastAsia="en-GB"/>
              </w:rPr>
            </w:pPr>
            <w:r w:rsidRPr="005F3FF0">
              <w:rPr>
                <w:rFonts w:cs="Arial"/>
                <w:iCs/>
                <w:color w:val="000000"/>
                <w:sz w:val="22"/>
                <w:szCs w:val="22"/>
                <w:lang w:eastAsia="en-GB"/>
              </w:rPr>
              <w:t>Conditions can be imposed</w:t>
            </w:r>
          </w:p>
        </w:tc>
      </w:tr>
    </w:tbl>
    <w:p w14:paraId="4EFA9A1D" w14:textId="77777777" w:rsidR="00FF07A2" w:rsidRDefault="00FF07A2" w:rsidP="00FF07A2">
      <w:pPr>
        <w:spacing w:after="200"/>
        <w:ind w:left="567"/>
        <w:rPr>
          <w:rFonts w:cstheme="majorBidi"/>
          <w:bCs/>
          <w:sz w:val="22"/>
          <w:szCs w:val="28"/>
        </w:rPr>
      </w:pPr>
    </w:p>
    <w:p w14:paraId="7EF7318F" w14:textId="77777777" w:rsidR="00FF07A2" w:rsidRPr="00F50551" w:rsidRDefault="00FF07A2" w:rsidP="00FF07A2">
      <w:pPr>
        <w:spacing w:after="200"/>
        <w:ind w:left="567"/>
        <w:rPr>
          <w:rFonts w:cstheme="majorBidi"/>
          <w:bCs/>
          <w:sz w:val="22"/>
          <w:szCs w:val="28"/>
          <w:u w:val="single"/>
        </w:rPr>
      </w:pPr>
      <w:r w:rsidRPr="00F50551">
        <w:rPr>
          <w:rFonts w:cstheme="majorBidi"/>
          <w:bCs/>
          <w:sz w:val="22"/>
          <w:szCs w:val="28"/>
          <w:u w:val="single"/>
        </w:rPr>
        <w:t>Subdivision</w:t>
      </w:r>
      <w:r>
        <w:rPr>
          <w:rFonts w:cstheme="majorBidi"/>
          <w:bCs/>
          <w:sz w:val="22"/>
          <w:szCs w:val="28"/>
          <w:u w:val="single"/>
        </w:rPr>
        <w:t xml:space="preserve"> </w:t>
      </w:r>
    </w:p>
    <w:p w14:paraId="6C3531C8" w14:textId="35C0B47B" w:rsidR="00FF07A2" w:rsidRPr="00FF4AA9" w:rsidRDefault="00FF07A2" w:rsidP="00FF07A2">
      <w:pPr>
        <w:spacing w:after="200"/>
        <w:ind w:left="567"/>
        <w:rPr>
          <w:rFonts w:cstheme="majorBidi"/>
          <w:bCs/>
          <w:sz w:val="22"/>
          <w:szCs w:val="28"/>
        </w:rPr>
      </w:pPr>
      <w:r w:rsidRPr="00F50551">
        <w:rPr>
          <w:rFonts w:cstheme="majorBidi"/>
          <w:bCs/>
          <w:sz w:val="22"/>
          <w:szCs w:val="28"/>
        </w:rPr>
        <w:t xml:space="preserve">Subdivision both in urban (Chapter E38) and rural (Chapter E39) areas often involves vegetation protection or revegetation. Appendix 15 sets out the requirements for legal protection of SEAs and revegetation planting, including the requirement for ongoing and effective pest control (e.g. 15.4.2(f), 15.1(1)).  Appendix 16 relates to rural subdivision and sets out </w:t>
      </w:r>
      <w:r>
        <w:rPr>
          <w:rFonts w:cstheme="majorBidi"/>
          <w:bCs/>
          <w:sz w:val="22"/>
          <w:szCs w:val="28"/>
        </w:rPr>
        <w:t xml:space="preserve">indigenous </w:t>
      </w:r>
      <w:r w:rsidRPr="00F50551">
        <w:rPr>
          <w:rFonts w:cstheme="majorBidi"/>
          <w:bCs/>
          <w:sz w:val="22"/>
          <w:szCs w:val="28"/>
        </w:rPr>
        <w:t xml:space="preserve">planting plan requirements. Subdivision creating </w:t>
      </w:r>
      <w:r w:rsidRPr="00F50551">
        <w:rPr>
          <w:rFonts w:cstheme="majorBidi"/>
          <w:bCs/>
          <w:sz w:val="22"/>
          <w:szCs w:val="28"/>
        </w:rPr>
        <w:lastRenderedPageBreak/>
        <w:t xml:space="preserve">additional sites through protection of indigenous vegetation has specific standards that ensure that pest species are </w:t>
      </w:r>
      <w:r w:rsidR="0089512A" w:rsidRPr="00F50551">
        <w:rPr>
          <w:rFonts w:cstheme="majorBidi"/>
          <w:bCs/>
          <w:sz w:val="22"/>
          <w:szCs w:val="28"/>
        </w:rPr>
        <w:t>controlled,</w:t>
      </w:r>
      <w:r w:rsidRPr="00F50551">
        <w:rPr>
          <w:rFonts w:cstheme="majorBidi"/>
          <w:bCs/>
          <w:sz w:val="22"/>
          <w:szCs w:val="28"/>
        </w:rPr>
        <w:t xml:space="preserve"> and on-going maintenance of pests is achieved. This can appropriately include conditions ab</w:t>
      </w:r>
      <w:r>
        <w:rPr>
          <w:rFonts w:cstheme="majorBidi"/>
          <w:bCs/>
          <w:sz w:val="22"/>
          <w:szCs w:val="28"/>
        </w:rPr>
        <w:t>out the spread of myrtle rust.</w:t>
      </w:r>
    </w:p>
    <w:p w14:paraId="59FE4722" w14:textId="77777777" w:rsidR="00FF07A2" w:rsidRPr="004F780F" w:rsidRDefault="00FF07A2" w:rsidP="00FF07A2">
      <w:pPr>
        <w:pStyle w:val="Heading2"/>
        <w:ind w:left="851" w:hanging="284"/>
        <w:rPr>
          <w:lang w:eastAsia="en-NZ"/>
        </w:rPr>
      </w:pPr>
      <w:r w:rsidRPr="004F780F">
        <w:rPr>
          <w:lang w:eastAsia="en-NZ"/>
        </w:rPr>
        <w:t xml:space="preserve">General </w:t>
      </w:r>
      <w:r>
        <w:rPr>
          <w:lang w:eastAsia="en-NZ"/>
        </w:rPr>
        <w:t>Myrtle rust</w:t>
      </w:r>
      <w:r w:rsidRPr="00F866C8">
        <w:rPr>
          <w:lang w:eastAsia="en-NZ"/>
        </w:rPr>
        <w:t xml:space="preserve"> (</w:t>
      </w:r>
      <w:proofErr w:type="spellStart"/>
      <w:r w:rsidRPr="00F866C8">
        <w:rPr>
          <w:lang w:eastAsia="en-NZ"/>
        </w:rPr>
        <w:t>Austropuccinia</w:t>
      </w:r>
      <w:proofErr w:type="spellEnd"/>
      <w:r w:rsidRPr="00F866C8">
        <w:rPr>
          <w:lang w:eastAsia="en-NZ"/>
        </w:rPr>
        <w:t xml:space="preserve"> </w:t>
      </w:r>
      <w:proofErr w:type="spellStart"/>
      <w:r w:rsidRPr="00F866C8">
        <w:rPr>
          <w:lang w:eastAsia="en-NZ"/>
        </w:rPr>
        <w:t>psidii</w:t>
      </w:r>
      <w:proofErr w:type="spellEnd"/>
      <w:r w:rsidRPr="00F866C8">
        <w:rPr>
          <w:lang w:eastAsia="en-NZ"/>
        </w:rPr>
        <w:t xml:space="preserve">) </w:t>
      </w:r>
      <w:r w:rsidRPr="004F780F">
        <w:rPr>
          <w:lang w:eastAsia="en-NZ"/>
        </w:rPr>
        <w:t>Conditions</w:t>
      </w:r>
    </w:p>
    <w:p w14:paraId="0AFBC7AF" w14:textId="7FA4904E" w:rsidR="00FF07A2" w:rsidRPr="0006156F" w:rsidRDefault="00FF07A2" w:rsidP="00FF07A2">
      <w:pPr>
        <w:pStyle w:val="Heading3"/>
      </w:pPr>
      <w:r>
        <w:br/>
        <w:t>Condition 1:</w:t>
      </w:r>
      <w:bookmarkStart w:id="2" w:name="_Ref354057950"/>
      <w:r>
        <w:t xml:space="preserve"> Certification of </w:t>
      </w:r>
      <w:proofErr w:type="spellStart"/>
      <w:r>
        <w:t>Myrtaceae</w:t>
      </w:r>
      <w:proofErr w:type="spellEnd"/>
      <w:r>
        <w:t xml:space="preserve"> species for planting</w:t>
      </w:r>
    </w:p>
    <w:bookmarkEnd w:id="2"/>
    <w:p w14:paraId="70FEB24F" w14:textId="5FC3B666" w:rsidR="001B7AF2" w:rsidRPr="001B7AF2" w:rsidRDefault="001B7AF2" w:rsidP="0EABB3A1">
      <w:pPr>
        <w:spacing w:after="0" w:line="276" w:lineRule="auto"/>
        <w:ind w:left="567"/>
        <w:rPr>
          <w:rFonts w:asciiTheme="minorHAnsi" w:hAnsiTheme="minorHAnsi"/>
          <w:sz w:val="22"/>
        </w:rPr>
      </w:pPr>
      <w:r w:rsidRPr="0EABB3A1">
        <w:rPr>
          <w:rFonts w:cs="Calibri"/>
          <w:color w:val="000000" w:themeColor="text1"/>
          <w:sz w:val="22"/>
        </w:rPr>
        <w:t xml:space="preserve">Any </w:t>
      </w:r>
      <w:r w:rsidR="005F1804" w:rsidRPr="0EABB3A1">
        <w:rPr>
          <w:rFonts w:cs="Calibri"/>
          <w:color w:val="000000" w:themeColor="text1"/>
          <w:sz w:val="22"/>
        </w:rPr>
        <w:t>Myrtaceous</w:t>
      </w:r>
      <w:r w:rsidRPr="0EABB3A1">
        <w:rPr>
          <w:rFonts w:cs="Calibri"/>
          <w:color w:val="000000" w:themeColor="text1"/>
          <w:sz w:val="22"/>
        </w:rPr>
        <w:t xml:space="preserve"> species (</w:t>
      </w:r>
      <w:r w:rsidR="5823A7F6" w:rsidRPr="0EABB3A1">
        <w:rPr>
          <w:rFonts w:cs="Calibri"/>
          <w:color w:val="000000" w:themeColor="text1"/>
          <w:sz w:val="22"/>
        </w:rPr>
        <w:t xml:space="preserve">e.g. </w:t>
      </w:r>
      <w:r w:rsidR="000202B8" w:rsidRPr="0EABB3A1">
        <w:rPr>
          <w:rFonts w:cs="Calibri"/>
          <w:color w:val="000000" w:themeColor="text1"/>
          <w:sz w:val="22"/>
        </w:rPr>
        <w:t>manuka</w:t>
      </w:r>
      <w:r w:rsidRPr="0EABB3A1">
        <w:rPr>
          <w:rFonts w:cs="Calibri"/>
          <w:color w:val="000000" w:themeColor="text1"/>
          <w:sz w:val="22"/>
        </w:rPr>
        <w:t xml:space="preserve">, </w:t>
      </w:r>
      <w:proofErr w:type="spellStart"/>
      <w:r w:rsidRPr="0EABB3A1">
        <w:rPr>
          <w:rFonts w:cs="Calibri"/>
          <w:color w:val="000000" w:themeColor="text1"/>
          <w:sz w:val="22"/>
        </w:rPr>
        <w:t>kānuka</w:t>
      </w:r>
      <w:proofErr w:type="spellEnd"/>
      <w:r w:rsidRPr="0EABB3A1">
        <w:rPr>
          <w:rFonts w:cs="Calibri"/>
          <w:color w:val="000000" w:themeColor="text1"/>
          <w:sz w:val="22"/>
        </w:rPr>
        <w:t xml:space="preserve">) being delivered to the site must be from a </w:t>
      </w:r>
      <w:r w:rsidR="154F5309" w:rsidRPr="0EABB3A1">
        <w:rPr>
          <w:rFonts w:cs="Calibri"/>
          <w:sz w:val="22"/>
        </w:rPr>
        <w:t>Plant Pass</w:t>
      </w:r>
      <w:r w:rsidRPr="0EABB3A1">
        <w:rPr>
          <w:rFonts w:cs="Calibri"/>
          <w:sz w:val="22"/>
        </w:rPr>
        <w:t xml:space="preserve"> certified supplier with a Myrtle Rust Specific Module standard. Participating producers can be found at</w:t>
      </w:r>
      <w:hyperlink r:id="rId15" w:history="1">
        <w:r w:rsidRPr="0EABB3A1">
          <w:rPr>
            <w:rStyle w:val="Hyperlink"/>
            <w:rFonts w:cs="Calibri"/>
            <w:sz w:val="22"/>
          </w:rPr>
          <w:t>www.plantpass.org.nz/biosecurity/participatingproducers</w:t>
        </w:r>
      </w:hyperlink>
      <w:r w:rsidRPr="0EABB3A1">
        <w:rPr>
          <w:rFonts w:asciiTheme="minorHAnsi" w:hAnsiTheme="minorHAnsi"/>
          <w:sz w:val="22"/>
        </w:rPr>
        <w:t>.</w:t>
      </w:r>
      <w:r w:rsidR="003B2A3A" w:rsidRPr="0EABB3A1">
        <w:rPr>
          <w:rFonts w:asciiTheme="minorHAnsi" w:hAnsiTheme="minorHAnsi"/>
          <w:sz w:val="22"/>
        </w:rPr>
        <w:t xml:space="preserve"> </w:t>
      </w:r>
      <w:r w:rsidR="003B2A3A" w:rsidRPr="0EABB3A1">
        <w:rPr>
          <w:rFonts w:eastAsia="Times New Roman"/>
          <w:sz w:val="22"/>
        </w:rPr>
        <w:t>A copy of the plant delivery receipt must be provided to Council within 5 days of plant delivery demonstrating that plants were sourced from a certified supplier.</w:t>
      </w:r>
    </w:p>
    <w:p w14:paraId="6AEFD206" w14:textId="27EC2767" w:rsidR="00FD2DD3" w:rsidRPr="00FD2DD3" w:rsidRDefault="00FF07A2" w:rsidP="00FD2DD3">
      <w:pPr>
        <w:pStyle w:val="ACSCMStaffHeader"/>
        <w:rPr>
          <w:i w:val="0"/>
          <w:iCs/>
          <w:color w:val="auto"/>
          <w:u w:val="single"/>
          <w:lang w:eastAsia="en-NZ"/>
        </w:rPr>
      </w:pPr>
      <w:r w:rsidRPr="00FF07A2">
        <w:rPr>
          <w:rFonts w:eastAsiaTheme="minorHAnsi"/>
          <w:i w:val="0"/>
          <w:iCs/>
          <w:color w:val="auto"/>
          <w:u w:val="single"/>
          <w:lang w:val="en-AU" w:eastAsia="en-NZ"/>
        </w:rPr>
        <w:t>Advice Note:</w:t>
      </w:r>
      <w:r w:rsidR="003B2A3A">
        <w:rPr>
          <w:rFonts w:eastAsiaTheme="minorHAnsi"/>
          <w:i w:val="0"/>
          <w:iCs/>
          <w:color w:val="auto"/>
          <w:u w:val="single"/>
          <w:lang w:val="en-AU" w:eastAsia="en-NZ"/>
        </w:rPr>
        <w:t xml:space="preserve"> 1</w:t>
      </w:r>
    </w:p>
    <w:p w14:paraId="6DA7738F" w14:textId="43659AB9" w:rsidR="00FD2DD3" w:rsidRDefault="00FD2DD3" w:rsidP="67BBE2D1">
      <w:pPr>
        <w:spacing w:line="276" w:lineRule="auto"/>
        <w:ind w:left="567"/>
        <w:rPr>
          <w:rFonts w:cs="Arial"/>
          <w:i/>
          <w:iCs/>
          <w:sz w:val="22"/>
        </w:rPr>
      </w:pPr>
      <w:r w:rsidRPr="67BBE2D1">
        <w:rPr>
          <w:rFonts w:cs="Arial"/>
          <w:i/>
          <w:iCs/>
          <w:sz w:val="22"/>
        </w:rPr>
        <w:t xml:space="preserve">The New Zealand Plant Producers Incorporated has developed a framework of supply chain biosecurity protocols. Sourcing </w:t>
      </w:r>
      <w:proofErr w:type="spellStart"/>
      <w:r w:rsidRPr="67BBE2D1">
        <w:rPr>
          <w:rFonts w:cs="Arial"/>
          <w:i/>
          <w:iCs/>
          <w:color w:val="000000" w:themeColor="text1"/>
          <w:sz w:val="22"/>
        </w:rPr>
        <w:t>Myrtaceae</w:t>
      </w:r>
      <w:proofErr w:type="spellEnd"/>
      <w:r w:rsidRPr="67BBE2D1">
        <w:rPr>
          <w:rFonts w:cs="Arial"/>
          <w:i/>
          <w:iCs/>
          <w:color w:val="000000" w:themeColor="text1"/>
          <w:sz w:val="22"/>
        </w:rPr>
        <w:t xml:space="preserve"> species from participating producers </w:t>
      </w:r>
      <w:r w:rsidRPr="67BBE2D1">
        <w:rPr>
          <w:rFonts w:cs="Arial"/>
          <w:i/>
          <w:iCs/>
          <w:sz w:val="22"/>
        </w:rPr>
        <w:t>will satisfy the above condition. A copy of the Myrtle Rust Plant Production Management Protocol can be found at the website (</w:t>
      </w:r>
      <w:hyperlink r:id="rId16" w:history="1">
        <w:r w:rsidR="003B2A3A" w:rsidRPr="0022364B">
          <w:rPr>
            <w:rStyle w:val="Hyperlink"/>
            <w:rFonts w:cs="Arial"/>
            <w:i/>
            <w:iCs/>
            <w:sz w:val="22"/>
          </w:rPr>
          <w:t>https://nzppi.co.nz/CURRENT-THREATS/19727-s119533/</w:t>
        </w:r>
      </w:hyperlink>
      <w:r w:rsidRPr="67BBE2D1">
        <w:rPr>
          <w:rFonts w:cs="Arial"/>
          <w:i/>
          <w:iCs/>
          <w:sz w:val="22"/>
        </w:rPr>
        <w:t>).</w:t>
      </w:r>
    </w:p>
    <w:p w14:paraId="0516EA1F" w14:textId="4619B6BF" w:rsidR="003B2A3A" w:rsidRDefault="003B2A3A" w:rsidP="003B2A3A">
      <w:pPr>
        <w:pStyle w:val="ACSCMStaffHeader"/>
        <w:rPr>
          <w:rFonts w:eastAsiaTheme="minorHAnsi"/>
          <w:i w:val="0"/>
          <w:iCs/>
          <w:color w:val="auto"/>
          <w:u w:val="single"/>
          <w:lang w:val="en-AU" w:eastAsia="en-NZ"/>
        </w:rPr>
      </w:pPr>
      <w:r w:rsidRPr="00FF07A2">
        <w:rPr>
          <w:rFonts w:eastAsiaTheme="minorHAnsi"/>
          <w:i w:val="0"/>
          <w:iCs/>
          <w:color w:val="auto"/>
          <w:u w:val="single"/>
          <w:lang w:val="en-AU" w:eastAsia="en-NZ"/>
        </w:rPr>
        <w:t>Advice Note:</w:t>
      </w:r>
      <w:r>
        <w:rPr>
          <w:rFonts w:eastAsiaTheme="minorHAnsi"/>
          <w:i w:val="0"/>
          <w:iCs/>
          <w:color w:val="auto"/>
          <w:u w:val="single"/>
          <w:lang w:val="en-AU" w:eastAsia="en-NZ"/>
        </w:rPr>
        <w:t xml:space="preserve"> 2</w:t>
      </w:r>
    </w:p>
    <w:p w14:paraId="012B4B85" w14:textId="659F09DA" w:rsidR="003B2A3A" w:rsidRPr="0089512A" w:rsidRDefault="007D639A" w:rsidP="0EABB3A1">
      <w:pPr>
        <w:pStyle w:val="ACSCMStaffHeader"/>
        <w:rPr>
          <w:iCs/>
          <w:color w:val="auto"/>
          <w:lang w:eastAsia="en-NZ"/>
        </w:rPr>
      </w:pPr>
      <w:r w:rsidRPr="0089512A">
        <w:rPr>
          <w:iCs/>
          <w:color w:val="auto"/>
          <w:lang w:eastAsia="en-NZ"/>
        </w:rPr>
        <w:t xml:space="preserve">For plant producers that are waiting to be certified - This condition will be satisfied if the plant supplier has registered with </w:t>
      </w:r>
      <w:r w:rsidR="2BD84DBC" w:rsidRPr="0089512A">
        <w:rPr>
          <w:iCs/>
          <w:color w:val="auto"/>
          <w:lang w:eastAsia="en-NZ"/>
        </w:rPr>
        <w:t>Plant Pass</w:t>
      </w:r>
      <w:r w:rsidRPr="0089512A">
        <w:rPr>
          <w:iCs/>
          <w:color w:val="auto"/>
          <w:lang w:eastAsia="en-NZ"/>
        </w:rPr>
        <w:t xml:space="preserve"> and is waiting to be certified for the Myrtle Rust Specific Module.</w:t>
      </w:r>
    </w:p>
    <w:p w14:paraId="2DAFCE27" w14:textId="77777777" w:rsidR="003B2A3A" w:rsidRPr="00FD2DD3" w:rsidRDefault="003B2A3A" w:rsidP="67BBE2D1">
      <w:pPr>
        <w:spacing w:line="276" w:lineRule="auto"/>
        <w:ind w:left="567"/>
        <w:rPr>
          <w:rFonts w:cs="Arial"/>
          <w:i/>
          <w:iCs/>
          <w:sz w:val="22"/>
        </w:rPr>
      </w:pPr>
    </w:p>
    <w:p w14:paraId="34BC0813" w14:textId="77777777" w:rsidR="00FD2DD3" w:rsidRPr="00FF07A2" w:rsidRDefault="00FD2DD3" w:rsidP="00B52063">
      <w:pPr>
        <w:pStyle w:val="ACBodyTextAdviceNote"/>
        <w:ind w:left="0"/>
        <w:rPr>
          <w:lang w:eastAsia="en-NZ"/>
        </w:rPr>
      </w:pPr>
    </w:p>
    <w:p w14:paraId="5791223B" w14:textId="77777777" w:rsidR="00FF07A2" w:rsidRPr="0006156F" w:rsidRDefault="00FF07A2" w:rsidP="00FF07A2">
      <w:pPr>
        <w:pStyle w:val="ACSCMStaffHeader"/>
        <w:rPr>
          <w:lang w:eastAsia="en-NZ"/>
        </w:rPr>
      </w:pPr>
      <w:r w:rsidRPr="0006156F">
        <w:rPr>
          <w:lang w:eastAsia="en-NZ"/>
        </w:rPr>
        <w:t xml:space="preserve">Guidance Note: </w:t>
      </w:r>
    </w:p>
    <w:p w14:paraId="75DB1828" w14:textId="3D78B748" w:rsidR="00FF07A2" w:rsidRDefault="00FF07A2">
      <w:pPr>
        <w:pStyle w:val="ACSCMnote2staff"/>
        <w:rPr>
          <w:rFonts w:eastAsiaTheme="minorEastAsia"/>
        </w:rPr>
      </w:pPr>
      <w:r w:rsidRPr="3BF96610">
        <w:rPr>
          <w:rFonts w:eastAsiaTheme="minorEastAsia"/>
        </w:rPr>
        <w:t xml:space="preserve">This condition relates to the maintenance of biodiversity on site and the ability of the applicant to protect any mitigation planting. It should be imposed on all consents where planting is required by consent condition or where planting is required as part of the proposal. </w:t>
      </w:r>
      <w:r w:rsidR="30F0AC66" w:rsidRPr="3BF96610">
        <w:rPr>
          <w:rFonts w:eastAsiaTheme="minorEastAsia"/>
        </w:rPr>
        <w:t xml:space="preserve">This includes native restoration planting and landscape planting of exotics. </w:t>
      </w:r>
      <w:r w:rsidRPr="3BF96610">
        <w:rPr>
          <w:rFonts w:eastAsiaTheme="minorEastAsia"/>
        </w:rPr>
        <w:t xml:space="preserve">If the consent holder decides not to use </w:t>
      </w:r>
      <w:proofErr w:type="spellStart"/>
      <w:r w:rsidRPr="3BF96610">
        <w:rPr>
          <w:rFonts w:eastAsiaTheme="minorEastAsia"/>
        </w:rPr>
        <w:t>Myrtaceae</w:t>
      </w:r>
      <w:proofErr w:type="spellEnd"/>
      <w:r w:rsidRPr="3BF96610">
        <w:rPr>
          <w:rFonts w:eastAsiaTheme="minorEastAsia"/>
        </w:rPr>
        <w:t xml:space="preserve"> species this condition will not be overly onerous as it will not require any action and if they do decide to use </w:t>
      </w:r>
      <w:proofErr w:type="spellStart"/>
      <w:r w:rsidRPr="3BF96610">
        <w:rPr>
          <w:rFonts w:eastAsiaTheme="minorEastAsia"/>
        </w:rPr>
        <w:t>Myrtaceae</w:t>
      </w:r>
      <w:proofErr w:type="spellEnd"/>
      <w:r w:rsidRPr="3BF96610">
        <w:rPr>
          <w:rFonts w:eastAsiaTheme="minorEastAsia"/>
        </w:rPr>
        <w:t xml:space="preserve"> species this condition will ensure that the plants will not spread the disease. The advice note should always be included with the condition as it provides the website for </w:t>
      </w:r>
      <w:r w:rsidR="46643D11" w:rsidRPr="3BF96610">
        <w:rPr>
          <w:rFonts w:eastAsiaTheme="minorEastAsia"/>
        </w:rPr>
        <w:t xml:space="preserve">a list of the participating plant </w:t>
      </w:r>
      <w:r w:rsidR="46643D11" w:rsidRPr="3BF96610">
        <w:rPr>
          <w:rFonts w:eastAsiaTheme="minorEastAsia"/>
        </w:rPr>
        <w:lastRenderedPageBreak/>
        <w:t>producers</w:t>
      </w:r>
      <w:r w:rsidRPr="3BF96610">
        <w:rPr>
          <w:rFonts w:eastAsiaTheme="minorEastAsia"/>
        </w:rPr>
        <w:t xml:space="preserve">. This condition can apply to commercial or private/non-commercial nurseries. </w:t>
      </w:r>
    </w:p>
    <w:p w14:paraId="1F43765D" w14:textId="6F73AC1B" w:rsidR="007D639A" w:rsidRPr="004F780F" w:rsidRDefault="007D639A">
      <w:pPr>
        <w:pStyle w:val="ACSCMnote2staff"/>
        <w:rPr>
          <w:rFonts w:eastAsiaTheme="minorEastAsia"/>
        </w:rPr>
      </w:pPr>
      <w:r>
        <w:rPr>
          <w:rFonts w:eastAsiaTheme="minorEastAsia"/>
        </w:rPr>
        <w:t xml:space="preserve">Advice </w:t>
      </w:r>
      <w:proofErr w:type="gramStart"/>
      <w:r>
        <w:rPr>
          <w:rFonts w:eastAsiaTheme="minorEastAsia"/>
        </w:rPr>
        <w:t>note</w:t>
      </w:r>
      <w:proofErr w:type="gramEnd"/>
      <w:r>
        <w:rPr>
          <w:rFonts w:eastAsiaTheme="minorEastAsia"/>
        </w:rPr>
        <w:t xml:space="preserve"> 1 is to be used on all consent that include this condition. Advice </w:t>
      </w:r>
      <w:proofErr w:type="gramStart"/>
      <w:r>
        <w:rPr>
          <w:rFonts w:eastAsiaTheme="minorEastAsia"/>
        </w:rPr>
        <w:t>note</w:t>
      </w:r>
      <w:proofErr w:type="gramEnd"/>
      <w:r>
        <w:rPr>
          <w:rFonts w:eastAsiaTheme="minorEastAsia"/>
        </w:rPr>
        <w:t xml:space="preserve"> 2 is to be used </w:t>
      </w:r>
      <w:r w:rsidR="007C4A3D">
        <w:rPr>
          <w:rFonts w:eastAsiaTheme="minorEastAsia"/>
        </w:rPr>
        <w:t xml:space="preserve">at the ecologists discretion </w:t>
      </w:r>
      <w:r>
        <w:rPr>
          <w:rFonts w:eastAsiaTheme="minorEastAsia"/>
        </w:rPr>
        <w:t>until more plant produce</w:t>
      </w:r>
      <w:r w:rsidR="00446B10">
        <w:rPr>
          <w:rFonts w:eastAsiaTheme="minorEastAsia"/>
        </w:rPr>
        <w:t>rs gain certification. This advice note will be reviewed in 12 months to determine if it is still required.</w:t>
      </w:r>
    </w:p>
    <w:bookmarkEnd w:id="1"/>
    <w:p w14:paraId="41DC7DFB" w14:textId="77777777" w:rsidR="00FF07A2" w:rsidRPr="004F780F" w:rsidRDefault="00FF07A2" w:rsidP="00FF07A2">
      <w:pPr>
        <w:spacing w:after="200" w:line="276" w:lineRule="auto"/>
        <w:rPr>
          <w:rFonts w:cs="Arial"/>
        </w:rPr>
      </w:pPr>
    </w:p>
    <w:sectPr w:rsidR="00FF07A2" w:rsidRPr="004F780F" w:rsidSect="0067343B">
      <w:footerReference w:type="even" r:id="rId17"/>
      <w:footerReference w:type="default" r:id="rId18"/>
      <w:footerReference w:type="first" r:id="rId19"/>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E046" w14:textId="77777777" w:rsidR="007F385C" w:rsidRDefault="007F385C" w:rsidP="00C85CC0">
      <w:pPr>
        <w:spacing w:after="0" w:line="240" w:lineRule="auto"/>
      </w:pPr>
      <w:r>
        <w:separator/>
      </w:r>
    </w:p>
  </w:endnote>
  <w:endnote w:type="continuationSeparator" w:id="0">
    <w:p w14:paraId="7FF1605F" w14:textId="77777777" w:rsidR="007F385C" w:rsidRDefault="007F385C" w:rsidP="00C85CC0">
      <w:pPr>
        <w:spacing w:after="0" w:line="240" w:lineRule="auto"/>
      </w:pPr>
      <w:r>
        <w:continuationSeparator/>
      </w:r>
    </w:p>
  </w:endnote>
  <w:endnote w:type="continuationNotice" w:id="1">
    <w:p w14:paraId="4878DD4B" w14:textId="77777777" w:rsidR="00E326AC" w:rsidRDefault="00E32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398554590"/>
      <w:docPartObj>
        <w:docPartGallery w:val="Page Numbers (Top of Page)"/>
        <w:docPartUnique/>
      </w:docPartObj>
    </w:sdtPr>
    <w:sdtEndPr/>
    <w:sdtContent>
      <w:p w14:paraId="4CADB8B6" w14:textId="609811B1" w:rsidR="001A3DEB" w:rsidRPr="00282579" w:rsidRDefault="0067343B" w:rsidP="0067343B">
        <w:pPr>
          <w:pStyle w:val="Footer"/>
          <w:rPr>
            <w:sz w:val="14"/>
            <w:szCs w:val="14"/>
          </w:rPr>
        </w:pPr>
        <w:r w:rsidRPr="00282579">
          <w:rPr>
            <w:sz w:val="14"/>
            <w:szCs w:val="14"/>
          </w:rPr>
          <w:t xml:space="preserve">Page </w:t>
        </w:r>
        <w:r w:rsidRPr="00282579">
          <w:rPr>
            <w:sz w:val="14"/>
            <w:szCs w:val="14"/>
          </w:rPr>
          <w:fldChar w:fldCharType="begin"/>
        </w:r>
        <w:r w:rsidRPr="00282579">
          <w:rPr>
            <w:sz w:val="14"/>
            <w:szCs w:val="14"/>
          </w:rPr>
          <w:instrText xml:space="preserve"> PAGE </w:instrText>
        </w:r>
        <w:r w:rsidRPr="00282579">
          <w:rPr>
            <w:sz w:val="14"/>
            <w:szCs w:val="14"/>
          </w:rPr>
          <w:fldChar w:fldCharType="separate"/>
        </w:r>
        <w:r w:rsidRPr="00282579">
          <w:rPr>
            <w:sz w:val="14"/>
            <w:szCs w:val="14"/>
          </w:rPr>
          <w:t>1</w:t>
        </w:r>
        <w:r w:rsidRPr="00282579">
          <w:rPr>
            <w:sz w:val="14"/>
            <w:szCs w:val="14"/>
          </w:rPr>
          <w:fldChar w:fldCharType="end"/>
        </w:r>
        <w:r w:rsidRPr="00282579">
          <w:rPr>
            <w:sz w:val="14"/>
            <w:szCs w:val="14"/>
          </w:rPr>
          <w:t xml:space="preserve"> of </w:t>
        </w:r>
        <w:r w:rsidRPr="00282579">
          <w:rPr>
            <w:sz w:val="14"/>
            <w:szCs w:val="14"/>
          </w:rPr>
          <w:fldChar w:fldCharType="begin"/>
        </w:r>
        <w:r w:rsidRPr="00282579">
          <w:rPr>
            <w:sz w:val="14"/>
            <w:szCs w:val="14"/>
          </w:rPr>
          <w:instrText xml:space="preserve"> NUMPAGES  </w:instrText>
        </w:r>
        <w:r w:rsidRPr="00282579">
          <w:rPr>
            <w:sz w:val="14"/>
            <w:szCs w:val="14"/>
          </w:rPr>
          <w:fldChar w:fldCharType="separate"/>
        </w:r>
        <w:r w:rsidRPr="00282579">
          <w:rPr>
            <w:sz w:val="14"/>
            <w:szCs w:val="14"/>
          </w:rPr>
          <w:t>4</w:t>
        </w:r>
        <w:r w:rsidRPr="00282579">
          <w:rPr>
            <w:sz w:val="14"/>
            <w:szCs w:val="14"/>
          </w:rPr>
          <w:fldChar w:fldCharType="end"/>
        </w:r>
        <w:r w:rsidRPr="00282579">
          <w:rPr>
            <w:sz w:val="14"/>
            <w:szCs w:val="14"/>
          </w:rPr>
          <w:tab/>
          <w:t xml:space="preserve"> </w:t>
        </w:r>
        <w:r w:rsidR="00282579">
          <w:rPr>
            <w:sz w:val="14"/>
            <w:szCs w:val="14"/>
          </w:rPr>
          <w:t xml:space="preserve">January </w:t>
        </w:r>
        <w:proofErr w:type="gramStart"/>
        <w:r w:rsidR="00282579">
          <w:rPr>
            <w:sz w:val="14"/>
            <w:szCs w:val="14"/>
          </w:rPr>
          <w:t xml:space="preserve">2024 </w:t>
        </w:r>
        <w:r w:rsidR="00282579" w:rsidRPr="00282579">
          <w:rPr>
            <w:sz w:val="14"/>
            <w:szCs w:val="14"/>
          </w:rPr>
          <w:t xml:space="preserve"> </w:t>
        </w:r>
        <w:r w:rsidRPr="00282579">
          <w:rPr>
            <w:sz w:val="14"/>
            <w:szCs w:val="14"/>
          </w:rPr>
          <w:tab/>
        </w:r>
        <w:proofErr w:type="gramEnd"/>
        <w:r w:rsidRPr="00282579">
          <w:rPr>
            <w:sz w:val="14"/>
            <w:szCs w:val="14"/>
          </w:rPr>
          <w:t>RC 5.2.12 (</w:t>
        </w:r>
        <w:r w:rsidR="00282579">
          <w:rPr>
            <w:sz w:val="14"/>
            <w:szCs w:val="14"/>
          </w:rPr>
          <w:t>v4</w:t>
        </w:r>
        <w:r w:rsidRPr="00282579">
          <w:rPr>
            <w:sz w:val="14"/>
            <w:szCs w:val="14"/>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697E" w14:textId="28C091D0" w:rsidR="00820245" w:rsidRPr="00282579" w:rsidRDefault="0067343B" w:rsidP="0067343B">
    <w:pPr>
      <w:pStyle w:val="Footer"/>
      <w:rPr>
        <w:sz w:val="14"/>
        <w:szCs w:val="14"/>
      </w:rPr>
    </w:pPr>
    <w:r w:rsidRPr="00282579">
      <w:rPr>
        <w:sz w:val="14"/>
        <w:szCs w:val="14"/>
      </w:rPr>
      <w:t xml:space="preserve">Page </w:t>
    </w:r>
    <w:r w:rsidRPr="00282579">
      <w:rPr>
        <w:sz w:val="14"/>
        <w:szCs w:val="14"/>
      </w:rPr>
      <w:fldChar w:fldCharType="begin"/>
    </w:r>
    <w:r w:rsidRPr="00282579">
      <w:rPr>
        <w:sz w:val="14"/>
        <w:szCs w:val="14"/>
      </w:rPr>
      <w:instrText xml:space="preserve"> PAGE </w:instrText>
    </w:r>
    <w:r w:rsidRPr="00282579">
      <w:rPr>
        <w:sz w:val="14"/>
        <w:szCs w:val="14"/>
      </w:rPr>
      <w:fldChar w:fldCharType="separate"/>
    </w:r>
    <w:r w:rsidRPr="00282579">
      <w:rPr>
        <w:sz w:val="14"/>
        <w:szCs w:val="14"/>
      </w:rPr>
      <w:t>1</w:t>
    </w:r>
    <w:r w:rsidRPr="00282579">
      <w:rPr>
        <w:sz w:val="14"/>
        <w:szCs w:val="14"/>
      </w:rPr>
      <w:fldChar w:fldCharType="end"/>
    </w:r>
    <w:r w:rsidRPr="00282579">
      <w:rPr>
        <w:sz w:val="14"/>
        <w:szCs w:val="14"/>
      </w:rPr>
      <w:t xml:space="preserve"> of </w:t>
    </w:r>
    <w:r w:rsidRPr="00282579">
      <w:rPr>
        <w:sz w:val="14"/>
        <w:szCs w:val="14"/>
      </w:rPr>
      <w:fldChar w:fldCharType="begin"/>
    </w:r>
    <w:r w:rsidRPr="00282579">
      <w:rPr>
        <w:sz w:val="14"/>
        <w:szCs w:val="14"/>
      </w:rPr>
      <w:instrText xml:space="preserve"> NUMPAGES  </w:instrText>
    </w:r>
    <w:r w:rsidRPr="00282579">
      <w:rPr>
        <w:sz w:val="14"/>
        <w:szCs w:val="14"/>
      </w:rPr>
      <w:fldChar w:fldCharType="separate"/>
    </w:r>
    <w:r w:rsidRPr="00282579">
      <w:rPr>
        <w:sz w:val="14"/>
        <w:szCs w:val="14"/>
      </w:rPr>
      <w:t>4</w:t>
    </w:r>
    <w:r w:rsidRPr="00282579">
      <w:rPr>
        <w:sz w:val="14"/>
        <w:szCs w:val="14"/>
      </w:rPr>
      <w:fldChar w:fldCharType="end"/>
    </w:r>
    <w:r w:rsidRPr="00282579">
      <w:rPr>
        <w:sz w:val="14"/>
        <w:szCs w:val="14"/>
      </w:rPr>
      <w:tab/>
    </w:r>
    <w:r w:rsidR="00282579" w:rsidRPr="00282579">
      <w:rPr>
        <w:sz w:val="14"/>
        <w:szCs w:val="14"/>
      </w:rPr>
      <w:t>January 2024</w:t>
    </w:r>
    <w:r w:rsidRPr="00282579">
      <w:rPr>
        <w:sz w:val="14"/>
        <w:szCs w:val="14"/>
      </w:rPr>
      <w:tab/>
      <w:t>RC 5.2.12 (</w:t>
    </w:r>
    <w:r w:rsidR="00282579" w:rsidRPr="00282579">
      <w:rPr>
        <w:sz w:val="14"/>
        <w:szCs w:val="14"/>
      </w:rPr>
      <w:t>v</w:t>
    </w:r>
    <w:r w:rsidR="005F1804" w:rsidRPr="00282579">
      <w:rPr>
        <w:sz w:val="14"/>
        <w:szCs w:val="14"/>
      </w:rPr>
      <w:t>4</w:t>
    </w:r>
    <w:r w:rsidRPr="00282579">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F9AC" w14:textId="77777777" w:rsidR="007F385C" w:rsidRPr="000A7727" w:rsidRDefault="007F385C" w:rsidP="00C85CC0">
      <w:pPr>
        <w:spacing w:after="0" w:line="240" w:lineRule="auto"/>
        <w:rPr>
          <w:color w:val="008AC4"/>
        </w:rPr>
      </w:pPr>
      <w:r w:rsidRPr="000A7727">
        <w:rPr>
          <w:color w:val="008AC4"/>
        </w:rPr>
        <w:separator/>
      </w:r>
    </w:p>
  </w:footnote>
  <w:footnote w:type="continuationSeparator" w:id="0">
    <w:p w14:paraId="380E3E19" w14:textId="77777777" w:rsidR="007F385C" w:rsidRDefault="007F385C" w:rsidP="00C85CC0">
      <w:pPr>
        <w:spacing w:after="0" w:line="240" w:lineRule="auto"/>
      </w:pPr>
      <w:r>
        <w:continuationSeparator/>
      </w:r>
    </w:p>
  </w:footnote>
  <w:footnote w:type="continuationNotice" w:id="1">
    <w:p w14:paraId="2CBF77CF" w14:textId="77777777" w:rsidR="00E326AC" w:rsidRDefault="00E326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B2160A"/>
    <w:lvl w:ilvl="0">
      <w:start w:val="1"/>
      <w:numFmt w:val="decimal"/>
      <w:lvlText w:val="%1."/>
      <w:lvlJc w:val="left"/>
      <w:pPr>
        <w:tabs>
          <w:tab w:val="num" w:pos="641"/>
        </w:tabs>
        <w:ind w:left="641" w:hanging="360"/>
      </w:pPr>
    </w:lvl>
  </w:abstractNum>
  <w:abstractNum w:abstractNumId="1" w15:restartNumberingAfterBreak="0">
    <w:nsid w:val="FFFFFF7D"/>
    <w:multiLevelType w:val="singleLevel"/>
    <w:tmpl w:val="D35A9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23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448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6E7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A46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6496A"/>
    <w:lvl w:ilvl="0">
      <w:start w:val="1"/>
      <w:numFmt w:val="bullet"/>
      <w:lvlText w:val=""/>
      <w:lvlJc w:val="left"/>
      <w:pPr>
        <w:ind w:left="926" w:hanging="360"/>
      </w:pPr>
      <w:rPr>
        <w:rFonts w:ascii="Symbol" w:hAnsi="Symbol" w:hint="default"/>
        <w:color w:val="008AC4"/>
      </w:rPr>
    </w:lvl>
  </w:abstractNum>
  <w:abstractNum w:abstractNumId="7" w15:restartNumberingAfterBreak="0">
    <w:nsid w:val="FFFFFF83"/>
    <w:multiLevelType w:val="singleLevel"/>
    <w:tmpl w:val="501EF4B2"/>
    <w:lvl w:ilvl="0">
      <w:start w:val="1"/>
      <w:numFmt w:val="bullet"/>
      <w:lvlText w:val="o"/>
      <w:lvlJc w:val="left"/>
      <w:pPr>
        <w:ind w:left="814" w:hanging="360"/>
      </w:pPr>
      <w:rPr>
        <w:rFonts w:ascii="Courier New" w:hAnsi="Courier New" w:hint="default"/>
        <w:color w:val="008AC4"/>
      </w:rPr>
    </w:lvl>
  </w:abstractNum>
  <w:abstractNum w:abstractNumId="8" w15:restartNumberingAfterBreak="0">
    <w:nsid w:val="FFFFFF88"/>
    <w:multiLevelType w:val="singleLevel"/>
    <w:tmpl w:val="106A1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14746A"/>
    <w:lvl w:ilvl="0">
      <w:start w:val="1"/>
      <w:numFmt w:val="bullet"/>
      <w:lvlText w:val=""/>
      <w:lvlJc w:val="left"/>
      <w:pPr>
        <w:ind w:left="587" w:hanging="360"/>
      </w:pPr>
      <w:rPr>
        <w:rFonts w:ascii="Symbol" w:hAnsi="Symbol" w:hint="default"/>
        <w:color w:val="008AC4"/>
      </w:rPr>
    </w:lvl>
  </w:abstractNum>
  <w:abstractNum w:abstractNumId="10" w15:restartNumberingAfterBreak="0">
    <w:nsid w:val="00FB5CFE"/>
    <w:multiLevelType w:val="multilevel"/>
    <w:tmpl w:val="A162A8F6"/>
    <w:lvl w:ilvl="0">
      <w:start w:val="1"/>
      <w:numFmt w:val="bullet"/>
      <w:lvlText w:val="-"/>
      <w:lvlJc w:val="left"/>
      <w:pPr>
        <w:tabs>
          <w:tab w:val="num" w:pos="397"/>
        </w:tabs>
        <w:ind w:left="397" w:hanging="397"/>
      </w:pPr>
      <w:rPr>
        <w:rFonts w:ascii="Gill Sans MT" w:hAnsi="Gill Sans MT"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1"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2" w15:restartNumberingAfterBreak="0">
    <w:nsid w:val="03964A76"/>
    <w:multiLevelType w:val="multilevel"/>
    <w:tmpl w:val="921E0DEA"/>
    <w:lvl w:ilvl="0">
      <w:start w:val="1"/>
      <w:numFmt w:val="bullet"/>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3" w15:restartNumberingAfterBreak="0">
    <w:nsid w:val="0F072130"/>
    <w:multiLevelType w:val="multilevel"/>
    <w:tmpl w:val="ED183CA0"/>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4" w15:restartNumberingAfterBreak="0">
    <w:nsid w:val="1211437F"/>
    <w:multiLevelType w:val="hybridMultilevel"/>
    <w:tmpl w:val="42A08054"/>
    <w:lvl w:ilvl="0" w:tplc="1409000F">
      <w:start w:val="1"/>
      <w:numFmt w:val="decimal"/>
      <w:lvlText w:val="%1."/>
      <w:lvlJc w:val="left"/>
      <w:pPr>
        <w:ind w:left="-351" w:hanging="360"/>
      </w:p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start w:val="1"/>
      <w:numFmt w:val="decimal"/>
      <w:lvlText w:val="%4."/>
      <w:lvlJc w:val="left"/>
      <w:pPr>
        <w:ind w:left="1809" w:hanging="360"/>
      </w:pPr>
    </w:lvl>
    <w:lvl w:ilvl="4" w:tplc="14090019">
      <w:start w:val="1"/>
      <w:numFmt w:val="lowerLetter"/>
      <w:lvlText w:val="%5."/>
      <w:lvlJc w:val="left"/>
      <w:pPr>
        <w:ind w:left="2529" w:hanging="360"/>
      </w:pPr>
    </w:lvl>
    <w:lvl w:ilvl="5" w:tplc="1409001B">
      <w:start w:val="1"/>
      <w:numFmt w:val="lowerRoman"/>
      <w:lvlText w:val="%6."/>
      <w:lvlJc w:val="right"/>
      <w:pPr>
        <w:ind w:left="3249" w:hanging="180"/>
      </w:pPr>
    </w:lvl>
    <w:lvl w:ilvl="6" w:tplc="1409000F">
      <w:start w:val="1"/>
      <w:numFmt w:val="decimal"/>
      <w:lvlText w:val="%7."/>
      <w:lvlJc w:val="left"/>
      <w:pPr>
        <w:ind w:left="3969" w:hanging="360"/>
      </w:pPr>
    </w:lvl>
    <w:lvl w:ilvl="7" w:tplc="14090019">
      <w:start w:val="1"/>
      <w:numFmt w:val="lowerLetter"/>
      <w:lvlText w:val="%8."/>
      <w:lvlJc w:val="left"/>
      <w:pPr>
        <w:ind w:left="4689" w:hanging="360"/>
      </w:pPr>
    </w:lvl>
    <w:lvl w:ilvl="8" w:tplc="1409001B">
      <w:start w:val="1"/>
      <w:numFmt w:val="lowerRoman"/>
      <w:lvlText w:val="%9."/>
      <w:lvlJc w:val="right"/>
      <w:pPr>
        <w:ind w:left="5409" w:hanging="180"/>
      </w:pPr>
    </w:lvl>
  </w:abstractNum>
  <w:abstractNum w:abstractNumId="15"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17"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D8F1B2D"/>
    <w:multiLevelType w:val="hybridMultilevel"/>
    <w:tmpl w:val="A73C39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1F9F44C1"/>
    <w:multiLevelType w:val="hybridMultilevel"/>
    <w:tmpl w:val="20CA71AC"/>
    <w:lvl w:ilvl="0" w:tplc="FFFFFFFF">
      <w:numFmt w:val="bullet"/>
      <w:lvlText w:val="-"/>
      <w:lvlJc w:val="left"/>
      <w:pPr>
        <w:ind w:left="509" w:hanging="397"/>
      </w:pPr>
      <w:rPr>
        <w:rFonts w:ascii="Gill Sans MT" w:hAnsi="Gill Sans MT" w:hint="default"/>
        <w:color w:val="1593C9"/>
        <w:w w:val="100"/>
        <w:sz w:val="22"/>
        <w:szCs w:val="22"/>
        <w:lang w:val="en-NZ" w:eastAsia="en-NZ" w:bidi="en-NZ"/>
      </w:rPr>
    </w:lvl>
    <w:lvl w:ilvl="1" w:tplc="3A82E660">
      <w:numFmt w:val="bullet"/>
      <w:lvlText w:val=""/>
      <w:lvlJc w:val="left"/>
      <w:pPr>
        <w:ind w:left="816" w:hanging="396"/>
      </w:pPr>
      <w:rPr>
        <w:rFonts w:ascii="Symbol" w:hAnsi="Symbol" w:hint="default"/>
        <w:color w:val="auto"/>
        <w:w w:val="100"/>
        <w:sz w:val="22"/>
        <w:szCs w:val="22"/>
        <w:lang w:val="en-NZ" w:eastAsia="en-NZ" w:bidi="en-NZ"/>
      </w:rPr>
    </w:lvl>
    <w:lvl w:ilvl="2" w:tplc="DFDC8EFE">
      <w:numFmt w:val="bullet"/>
      <w:lvlText w:val="•"/>
      <w:lvlJc w:val="left"/>
      <w:pPr>
        <w:ind w:left="1280" w:hanging="396"/>
      </w:pPr>
      <w:rPr>
        <w:rFonts w:hint="default"/>
        <w:lang w:val="en-NZ" w:eastAsia="en-NZ" w:bidi="en-NZ"/>
      </w:rPr>
    </w:lvl>
    <w:lvl w:ilvl="3" w:tplc="1FC88AB2">
      <w:numFmt w:val="bullet"/>
      <w:lvlText w:val="•"/>
      <w:lvlJc w:val="left"/>
      <w:pPr>
        <w:ind w:left="2353" w:hanging="396"/>
      </w:pPr>
      <w:rPr>
        <w:rFonts w:hint="default"/>
        <w:lang w:val="en-NZ" w:eastAsia="en-NZ" w:bidi="en-NZ"/>
      </w:rPr>
    </w:lvl>
    <w:lvl w:ilvl="4" w:tplc="5E149CB2">
      <w:numFmt w:val="bullet"/>
      <w:lvlText w:val="•"/>
      <w:lvlJc w:val="left"/>
      <w:pPr>
        <w:ind w:left="3426" w:hanging="396"/>
      </w:pPr>
      <w:rPr>
        <w:rFonts w:hint="default"/>
        <w:lang w:val="en-NZ" w:eastAsia="en-NZ" w:bidi="en-NZ"/>
      </w:rPr>
    </w:lvl>
    <w:lvl w:ilvl="5" w:tplc="F39EBFCE">
      <w:numFmt w:val="bullet"/>
      <w:lvlText w:val="•"/>
      <w:lvlJc w:val="left"/>
      <w:pPr>
        <w:ind w:left="4499" w:hanging="396"/>
      </w:pPr>
      <w:rPr>
        <w:rFonts w:hint="default"/>
        <w:lang w:val="en-NZ" w:eastAsia="en-NZ" w:bidi="en-NZ"/>
      </w:rPr>
    </w:lvl>
    <w:lvl w:ilvl="6" w:tplc="BB7C3E48">
      <w:numFmt w:val="bullet"/>
      <w:lvlText w:val="•"/>
      <w:lvlJc w:val="left"/>
      <w:pPr>
        <w:ind w:left="5573" w:hanging="396"/>
      </w:pPr>
      <w:rPr>
        <w:rFonts w:hint="default"/>
        <w:lang w:val="en-NZ" w:eastAsia="en-NZ" w:bidi="en-NZ"/>
      </w:rPr>
    </w:lvl>
    <w:lvl w:ilvl="7" w:tplc="BACCBDB8">
      <w:numFmt w:val="bullet"/>
      <w:lvlText w:val="•"/>
      <w:lvlJc w:val="left"/>
      <w:pPr>
        <w:ind w:left="6646" w:hanging="396"/>
      </w:pPr>
      <w:rPr>
        <w:rFonts w:hint="default"/>
        <w:lang w:val="en-NZ" w:eastAsia="en-NZ" w:bidi="en-NZ"/>
      </w:rPr>
    </w:lvl>
    <w:lvl w:ilvl="8" w:tplc="AFC255EE">
      <w:numFmt w:val="bullet"/>
      <w:lvlText w:val="•"/>
      <w:lvlJc w:val="left"/>
      <w:pPr>
        <w:ind w:left="7719" w:hanging="396"/>
      </w:pPr>
      <w:rPr>
        <w:rFonts w:hint="default"/>
        <w:lang w:val="en-NZ" w:eastAsia="en-NZ" w:bidi="en-NZ"/>
      </w:rPr>
    </w:lvl>
  </w:abstractNum>
  <w:abstractNum w:abstractNumId="20" w15:restartNumberingAfterBreak="0">
    <w:nsid w:val="24202AD3"/>
    <w:multiLevelType w:val="hybridMultilevel"/>
    <w:tmpl w:val="286052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244811F6"/>
    <w:multiLevelType w:val="hybridMultilevel"/>
    <w:tmpl w:val="5958ED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985E6D"/>
    <w:multiLevelType w:val="hybridMultilevel"/>
    <w:tmpl w:val="AF609EF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B654ED8"/>
    <w:multiLevelType w:val="multilevel"/>
    <w:tmpl w:val="E5F0D766"/>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25" w15:restartNumberingAfterBreak="0">
    <w:nsid w:val="423A5E9A"/>
    <w:multiLevelType w:val="multilevel"/>
    <w:tmpl w:val="22964AD4"/>
    <w:lvl w:ilvl="0">
      <w:start w:val="1"/>
      <w:numFmt w:val="bullet"/>
      <w:lvlRestart w:val="0"/>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26"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534B2BB5"/>
    <w:multiLevelType w:val="hybridMultilevel"/>
    <w:tmpl w:val="E62EF472"/>
    <w:lvl w:ilvl="0" w:tplc="FFA63EB6">
      <w:start w:val="1"/>
      <w:numFmt w:val="decimal"/>
      <w:lvlText w:val="X.%1"/>
      <w:lvlJc w:val="left"/>
      <w:pPr>
        <w:ind w:left="720" w:hanging="360"/>
      </w:pPr>
      <w:rPr>
        <w:rFonts w:hint="default"/>
        <w:b w:val="0"/>
        <w:i w:val="0"/>
        <w:color w:val="auto"/>
        <w:sz w:val="22"/>
      </w:rPr>
    </w:lvl>
    <w:lvl w:ilvl="1" w:tplc="3FF0404C">
      <w:start w:val="1"/>
      <w:numFmt w:val="lowerLetter"/>
      <w:lvlText w:val="%2)"/>
      <w:lvlJc w:val="left"/>
      <w:pPr>
        <w:ind w:left="1440" w:hanging="360"/>
      </w:pPr>
      <w:rPr>
        <w:rFonts w:hint="default"/>
        <w:i w:val="0"/>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4D418B2"/>
    <w:multiLevelType w:val="hybridMultilevel"/>
    <w:tmpl w:val="52062CD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F255DB5"/>
    <w:multiLevelType w:val="hybridMultilevel"/>
    <w:tmpl w:val="605AB82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0"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1" w15:restartNumberingAfterBreak="0">
    <w:nsid w:val="666A3313"/>
    <w:multiLevelType w:val="hybridMultilevel"/>
    <w:tmpl w:val="1CAC71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C743D43"/>
    <w:multiLevelType w:val="hybridMultilevel"/>
    <w:tmpl w:val="8F96D3D4"/>
    <w:lvl w:ilvl="0" w:tplc="2D7668C8">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300841144">
    <w:abstractNumId w:val="16"/>
  </w:num>
  <w:num w:numId="2" w16cid:durableId="589890038">
    <w:abstractNumId w:val="11"/>
  </w:num>
  <w:num w:numId="3" w16cid:durableId="1105921491">
    <w:abstractNumId w:val="17"/>
  </w:num>
  <w:num w:numId="4" w16cid:durableId="766265793">
    <w:abstractNumId w:val="30"/>
  </w:num>
  <w:num w:numId="5" w16cid:durableId="527986705">
    <w:abstractNumId w:val="26"/>
  </w:num>
  <w:num w:numId="6" w16cid:durableId="1366366555">
    <w:abstractNumId w:val="32"/>
  </w:num>
  <w:num w:numId="7" w16cid:durableId="1823622859">
    <w:abstractNumId w:val="22"/>
  </w:num>
  <w:num w:numId="8" w16cid:durableId="426312315">
    <w:abstractNumId w:val="15"/>
  </w:num>
  <w:num w:numId="9" w16cid:durableId="1349599501">
    <w:abstractNumId w:val="28"/>
  </w:num>
  <w:num w:numId="10" w16cid:durableId="295067717">
    <w:abstractNumId w:val="9"/>
  </w:num>
  <w:num w:numId="11" w16cid:durableId="118035392">
    <w:abstractNumId w:val="7"/>
  </w:num>
  <w:num w:numId="12" w16cid:durableId="1774201944">
    <w:abstractNumId w:val="6"/>
  </w:num>
  <w:num w:numId="13" w16cid:durableId="1998073645">
    <w:abstractNumId w:val="5"/>
  </w:num>
  <w:num w:numId="14" w16cid:durableId="83500958">
    <w:abstractNumId w:val="4"/>
  </w:num>
  <w:num w:numId="15" w16cid:durableId="830412338">
    <w:abstractNumId w:val="8"/>
  </w:num>
  <w:num w:numId="16" w16cid:durableId="1006248799">
    <w:abstractNumId w:val="3"/>
  </w:num>
  <w:num w:numId="17" w16cid:durableId="706835881">
    <w:abstractNumId w:val="2"/>
  </w:num>
  <w:num w:numId="18" w16cid:durableId="543565175">
    <w:abstractNumId w:val="1"/>
  </w:num>
  <w:num w:numId="19" w16cid:durableId="1914512578">
    <w:abstractNumId w:val="0"/>
  </w:num>
  <w:num w:numId="20" w16cid:durableId="15501908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0441320">
    <w:abstractNumId w:val="29"/>
  </w:num>
  <w:num w:numId="22" w16cid:durableId="601256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66921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87572">
    <w:abstractNumId w:val="31"/>
  </w:num>
  <w:num w:numId="25" w16cid:durableId="1705205340">
    <w:abstractNumId w:val="21"/>
  </w:num>
  <w:num w:numId="26" w16cid:durableId="804080171">
    <w:abstractNumId w:val="20"/>
  </w:num>
  <w:num w:numId="27" w16cid:durableId="16426186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9197515">
    <w:abstractNumId w:val="14"/>
  </w:num>
  <w:num w:numId="29" w16cid:durableId="604919478">
    <w:abstractNumId w:val="24"/>
  </w:num>
  <w:num w:numId="30" w16cid:durableId="1183858677">
    <w:abstractNumId w:val="13"/>
  </w:num>
  <w:num w:numId="31" w16cid:durableId="1384718706">
    <w:abstractNumId w:val="25"/>
  </w:num>
  <w:num w:numId="32" w16cid:durableId="945232380">
    <w:abstractNumId w:val="10"/>
  </w:num>
  <w:num w:numId="33" w16cid:durableId="433718826">
    <w:abstractNumId w:val="19"/>
  </w:num>
  <w:num w:numId="34" w16cid:durableId="749232412">
    <w:abstractNumId w:val="12"/>
  </w:num>
  <w:num w:numId="35" w16cid:durableId="21439645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99545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1458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44943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713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5831803">
    <w:abstractNumId w:val="23"/>
  </w:num>
  <w:num w:numId="41" w16cid:durableId="1371879792">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1E"/>
    <w:rsid w:val="00003D19"/>
    <w:rsid w:val="00004465"/>
    <w:rsid w:val="00012283"/>
    <w:rsid w:val="0001291E"/>
    <w:rsid w:val="000202B8"/>
    <w:rsid w:val="000233EF"/>
    <w:rsid w:val="00025643"/>
    <w:rsid w:val="000503F3"/>
    <w:rsid w:val="0005071B"/>
    <w:rsid w:val="00051747"/>
    <w:rsid w:val="00052E45"/>
    <w:rsid w:val="0005504D"/>
    <w:rsid w:val="00063BFC"/>
    <w:rsid w:val="00073C43"/>
    <w:rsid w:val="00075404"/>
    <w:rsid w:val="00075663"/>
    <w:rsid w:val="00087EB9"/>
    <w:rsid w:val="000942AD"/>
    <w:rsid w:val="00096344"/>
    <w:rsid w:val="000A18E5"/>
    <w:rsid w:val="000A4220"/>
    <w:rsid w:val="000A437E"/>
    <w:rsid w:val="000A47E1"/>
    <w:rsid w:val="000A5DB8"/>
    <w:rsid w:val="000A681B"/>
    <w:rsid w:val="000A6B66"/>
    <w:rsid w:val="000A7727"/>
    <w:rsid w:val="000B0BC4"/>
    <w:rsid w:val="000C57E2"/>
    <w:rsid w:val="000D538F"/>
    <w:rsid w:val="000D5F25"/>
    <w:rsid w:val="000F2744"/>
    <w:rsid w:val="000F5F8A"/>
    <w:rsid w:val="00105A8E"/>
    <w:rsid w:val="00115E94"/>
    <w:rsid w:val="0012041E"/>
    <w:rsid w:val="001268D4"/>
    <w:rsid w:val="00134DA3"/>
    <w:rsid w:val="0013568B"/>
    <w:rsid w:val="00143CC8"/>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B52F0"/>
    <w:rsid w:val="001B7AF2"/>
    <w:rsid w:val="001C3D60"/>
    <w:rsid w:val="001D51E2"/>
    <w:rsid w:val="001D71C6"/>
    <w:rsid w:val="001E4171"/>
    <w:rsid w:val="00201927"/>
    <w:rsid w:val="00207235"/>
    <w:rsid w:val="00207C3F"/>
    <w:rsid w:val="00214A99"/>
    <w:rsid w:val="002223C7"/>
    <w:rsid w:val="00223183"/>
    <w:rsid w:val="00232D03"/>
    <w:rsid w:val="0023587B"/>
    <w:rsid w:val="002372D3"/>
    <w:rsid w:val="002512D0"/>
    <w:rsid w:val="00257F38"/>
    <w:rsid w:val="0026556C"/>
    <w:rsid w:val="00276706"/>
    <w:rsid w:val="00281CD3"/>
    <w:rsid w:val="00282579"/>
    <w:rsid w:val="00287680"/>
    <w:rsid w:val="0029163D"/>
    <w:rsid w:val="002918F5"/>
    <w:rsid w:val="002933BC"/>
    <w:rsid w:val="00293745"/>
    <w:rsid w:val="002A4AE7"/>
    <w:rsid w:val="002C3F43"/>
    <w:rsid w:val="002C45B2"/>
    <w:rsid w:val="002D38BD"/>
    <w:rsid w:val="002D5C16"/>
    <w:rsid w:val="002E441D"/>
    <w:rsid w:val="002F15A7"/>
    <w:rsid w:val="002F34EB"/>
    <w:rsid w:val="002F5E44"/>
    <w:rsid w:val="002F67F0"/>
    <w:rsid w:val="0030166A"/>
    <w:rsid w:val="00301929"/>
    <w:rsid w:val="00306CC1"/>
    <w:rsid w:val="0031580F"/>
    <w:rsid w:val="003311B6"/>
    <w:rsid w:val="00333A7D"/>
    <w:rsid w:val="00342AD1"/>
    <w:rsid w:val="00355016"/>
    <w:rsid w:val="00365137"/>
    <w:rsid w:val="0037388B"/>
    <w:rsid w:val="003800C5"/>
    <w:rsid w:val="003830FE"/>
    <w:rsid w:val="00391396"/>
    <w:rsid w:val="00392C84"/>
    <w:rsid w:val="00393272"/>
    <w:rsid w:val="003A028E"/>
    <w:rsid w:val="003B2A3A"/>
    <w:rsid w:val="003B6B4D"/>
    <w:rsid w:val="003C3FD1"/>
    <w:rsid w:val="003D0BCF"/>
    <w:rsid w:val="003E372A"/>
    <w:rsid w:val="003E3CF0"/>
    <w:rsid w:val="003E4DDE"/>
    <w:rsid w:val="003F7F5B"/>
    <w:rsid w:val="00400591"/>
    <w:rsid w:val="00403AAF"/>
    <w:rsid w:val="004049E9"/>
    <w:rsid w:val="00417938"/>
    <w:rsid w:val="00426A0E"/>
    <w:rsid w:val="00434BC9"/>
    <w:rsid w:val="00443A62"/>
    <w:rsid w:val="00445094"/>
    <w:rsid w:val="00446B10"/>
    <w:rsid w:val="00447EDA"/>
    <w:rsid w:val="00451466"/>
    <w:rsid w:val="00454FBD"/>
    <w:rsid w:val="00460119"/>
    <w:rsid w:val="00464175"/>
    <w:rsid w:val="004725E8"/>
    <w:rsid w:val="00481AFD"/>
    <w:rsid w:val="0048466F"/>
    <w:rsid w:val="00486F56"/>
    <w:rsid w:val="00487AA1"/>
    <w:rsid w:val="004967D2"/>
    <w:rsid w:val="00496A13"/>
    <w:rsid w:val="004B5FA8"/>
    <w:rsid w:val="004C10A6"/>
    <w:rsid w:val="004C5897"/>
    <w:rsid w:val="004E01B0"/>
    <w:rsid w:val="004E268C"/>
    <w:rsid w:val="00502C45"/>
    <w:rsid w:val="00502DAA"/>
    <w:rsid w:val="005048BB"/>
    <w:rsid w:val="0050519B"/>
    <w:rsid w:val="00506756"/>
    <w:rsid w:val="00510434"/>
    <w:rsid w:val="0051201C"/>
    <w:rsid w:val="00517022"/>
    <w:rsid w:val="00517DBA"/>
    <w:rsid w:val="00531A77"/>
    <w:rsid w:val="005553E7"/>
    <w:rsid w:val="005667A4"/>
    <w:rsid w:val="005673F6"/>
    <w:rsid w:val="00567E67"/>
    <w:rsid w:val="00575F90"/>
    <w:rsid w:val="0058094A"/>
    <w:rsid w:val="00592B2C"/>
    <w:rsid w:val="005B0D74"/>
    <w:rsid w:val="005C3F83"/>
    <w:rsid w:val="005C4D1C"/>
    <w:rsid w:val="005C6601"/>
    <w:rsid w:val="005C7B56"/>
    <w:rsid w:val="005D66AD"/>
    <w:rsid w:val="005E0161"/>
    <w:rsid w:val="005E0F77"/>
    <w:rsid w:val="005E4D77"/>
    <w:rsid w:val="005E5E27"/>
    <w:rsid w:val="005E6795"/>
    <w:rsid w:val="005F052E"/>
    <w:rsid w:val="005F12D3"/>
    <w:rsid w:val="005F1804"/>
    <w:rsid w:val="005F442C"/>
    <w:rsid w:val="005F601C"/>
    <w:rsid w:val="00600151"/>
    <w:rsid w:val="006020C1"/>
    <w:rsid w:val="00611487"/>
    <w:rsid w:val="00636352"/>
    <w:rsid w:val="00641211"/>
    <w:rsid w:val="006430F1"/>
    <w:rsid w:val="00647BF9"/>
    <w:rsid w:val="006670AF"/>
    <w:rsid w:val="00671FA9"/>
    <w:rsid w:val="0067343B"/>
    <w:rsid w:val="00674982"/>
    <w:rsid w:val="00680CC7"/>
    <w:rsid w:val="00681931"/>
    <w:rsid w:val="0068213A"/>
    <w:rsid w:val="006842C7"/>
    <w:rsid w:val="006A46BB"/>
    <w:rsid w:val="006B190B"/>
    <w:rsid w:val="006B3FE6"/>
    <w:rsid w:val="006B6257"/>
    <w:rsid w:val="006B799D"/>
    <w:rsid w:val="006D2BB3"/>
    <w:rsid w:val="006E7AE2"/>
    <w:rsid w:val="006F769D"/>
    <w:rsid w:val="007076BC"/>
    <w:rsid w:val="00723383"/>
    <w:rsid w:val="00725C2D"/>
    <w:rsid w:val="007276B8"/>
    <w:rsid w:val="00733070"/>
    <w:rsid w:val="007333D5"/>
    <w:rsid w:val="00733F6C"/>
    <w:rsid w:val="00734F4A"/>
    <w:rsid w:val="00741123"/>
    <w:rsid w:val="00744B84"/>
    <w:rsid w:val="00747CAF"/>
    <w:rsid w:val="0075183B"/>
    <w:rsid w:val="007712D6"/>
    <w:rsid w:val="007909F1"/>
    <w:rsid w:val="00797620"/>
    <w:rsid w:val="007A0350"/>
    <w:rsid w:val="007A0DA5"/>
    <w:rsid w:val="007A3EB8"/>
    <w:rsid w:val="007A4240"/>
    <w:rsid w:val="007A42F0"/>
    <w:rsid w:val="007A5219"/>
    <w:rsid w:val="007B2D49"/>
    <w:rsid w:val="007B2FB7"/>
    <w:rsid w:val="007C2A94"/>
    <w:rsid w:val="007C4A3D"/>
    <w:rsid w:val="007C7EBB"/>
    <w:rsid w:val="007D639A"/>
    <w:rsid w:val="007E0518"/>
    <w:rsid w:val="007E5594"/>
    <w:rsid w:val="007F385C"/>
    <w:rsid w:val="007F5B16"/>
    <w:rsid w:val="00801086"/>
    <w:rsid w:val="00803713"/>
    <w:rsid w:val="00810293"/>
    <w:rsid w:val="00820245"/>
    <w:rsid w:val="00824408"/>
    <w:rsid w:val="0082641A"/>
    <w:rsid w:val="00827ADF"/>
    <w:rsid w:val="00834135"/>
    <w:rsid w:val="00835858"/>
    <w:rsid w:val="0084164B"/>
    <w:rsid w:val="008516DA"/>
    <w:rsid w:val="008528A2"/>
    <w:rsid w:val="008540B9"/>
    <w:rsid w:val="008554E9"/>
    <w:rsid w:val="00864227"/>
    <w:rsid w:val="0089171E"/>
    <w:rsid w:val="00893F68"/>
    <w:rsid w:val="0089512A"/>
    <w:rsid w:val="00895E9F"/>
    <w:rsid w:val="008A1359"/>
    <w:rsid w:val="008A6F74"/>
    <w:rsid w:val="008C2CAB"/>
    <w:rsid w:val="008D16CE"/>
    <w:rsid w:val="008F05D3"/>
    <w:rsid w:val="008F0654"/>
    <w:rsid w:val="00900576"/>
    <w:rsid w:val="009212E3"/>
    <w:rsid w:val="00936A96"/>
    <w:rsid w:val="00944F1E"/>
    <w:rsid w:val="009517E0"/>
    <w:rsid w:val="00971E4B"/>
    <w:rsid w:val="00981DEC"/>
    <w:rsid w:val="00997352"/>
    <w:rsid w:val="009A342E"/>
    <w:rsid w:val="009C7226"/>
    <w:rsid w:val="009C7706"/>
    <w:rsid w:val="009D4BEF"/>
    <w:rsid w:val="00A05E5A"/>
    <w:rsid w:val="00A0768F"/>
    <w:rsid w:val="00A17747"/>
    <w:rsid w:val="00A40A8E"/>
    <w:rsid w:val="00A415D6"/>
    <w:rsid w:val="00A41B1E"/>
    <w:rsid w:val="00A426E6"/>
    <w:rsid w:val="00A569CE"/>
    <w:rsid w:val="00A62388"/>
    <w:rsid w:val="00A629D9"/>
    <w:rsid w:val="00A63B70"/>
    <w:rsid w:val="00A64896"/>
    <w:rsid w:val="00A73E53"/>
    <w:rsid w:val="00A77737"/>
    <w:rsid w:val="00A83B8E"/>
    <w:rsid w:val="00A95872"/>
    <w:rsid w:val="00AA2375"/>
    <w:rsid w:val="00AA28D3"/>
    <w:rsid w:val="00AB6EEC"/>
    <w:rsid w:val="00AD6D0A"/>
    <w:rsid w:val="00AD79B2"/>
    <w:rsid w:val="00AE60FD"/>
    <w:rsid w:val="00B14A74"/>
    <w:rsid w:val="00B20930"/>
    <w:rsid w:val="00B20C01"/>
    <w:rsid w:val="00B32362"/>
    <w:rsid w:val="00B34552"/>
    <w:rsid w:val="00B46B49"/>
    <w:rsid w:val="00B52063"/>
    <w:rsid w:val="00B55825"/>
    <w:rsid w:val="00B56AC8"/>
    <w:rsid w:val="00B63228"/>
    <w:rsid w:val="00B66A8C"/>
    <w:rsid w:val="00B726D4"/>
    <w:rsid w:val="00BA2DF9"/>
    <w:rsid w:val="00BA68ED"/>
    <w:rsid w:val="00BB0971"/>
    <w:rsid w:val="00BB4B2E"/>
    <w:rsid w:val="00BC178F"/>
    <w:rsid w:val="00BE5823"/>
    <w:rsid w:val="00BF1568"/>
    <w:rsid w:val="00BF635F"/>
    <w:rsid w:val="00C00187"/>
    <w:rsid w:val="00C02E7B"/>
    <w:rsid w:val="00C1465D"/>
    <w:rsid w:val="00C40AA2"/>
    <w:rsid w:val="00C42365"/>
    <w:rsid w:val="00C4600A"/>
    <w:rsid w:val="00C522ED"/>
    <w:rsid w:val="00C5300E"/>
    <w:rsid w:val="00C722E8"/>
    <w:rsid w:val="00C741A5"/>
    <w:rsid w:val="00C80244"/>
    <w:rsid w:val="00C81B12"/>
    <w:rsid w:val="00C85CC0"/>
    <w:rsid w:val="00C934DF"/>
    <w:rsid w:val="00C950B8"/>
    <w:rsid w:val="00CA1214"/>
    <w:rsid w:val="00CA4717"/>
    <w:rsid w:val="00CB4636"/>
    <w:rsid w:val="00CB5DEA"/>
    <w:rsid w:val="00CB7668"/>
    <w:rsid w:val="00CC0437"/>
    <w:rsid w:val="00CD52EF"/>
    <w:rsid w:val="00CF4939"/>
    <w:rsid w:val="00D00876"/>
    <w:rsid w:val="00D04B5C"/>
    <w:rsid w:val="00D21D4C"/>
    <w:rsid w:val="00D3789B"/>
    <w:rsid w:val="00D415A4"/>
    <w:rsid w:val="00D4249A"/>
    <w:rsid w:val="00D42A71"/>
    <w:rsid w:val="00D45571"/>
    <w:rsid w:val="00D47AAE"/>
    <w:rsid w:val="00D55022"/>
    <w:rsid w:val="00D704F1"/>
    <w:rsid w:val="00D752DD"/>
    <w:rsid w:val="00D80436"/>
    <w:rsid w:val="00D80E70"/>
    <w:rsid w:val="00D967DC"/>
    <w:rsid w:val="00DA1BF6"/>
    <w:rsid w:val="00DA233C"/>
    <w:rsid w:val="00DB0721"/>
    <w:rsid w:val="00DB3567"/>
    <w:rsid w:val="00DC17F6"/>
    <w:rsid w:val="00DC5E1B"/>
    <w:rsid w:val="00DE0EC9"/>
    <w:rsid w:val="00DE3783"/>
    <w:rsid w:val="00DF4BCF"/>
    <w:rsid w:val="00E005A2"/>
    <w:rsid w:val="00E11C6C"/>
    <w:rsid w:val="00E1690E"/>
    <w:rsid w:val="00E26796"/>
    <w:rsid w:val="00E2BBF2"/>
    <w:rsid w:val="00E326AC"/>
    <w:rsid w:val="00E37688"/>
    <w:rsid w:val="00E6620E"/>
    <w:rsid w:val="00E7207B"/>
    <w:rsid w:val="00E72324"/>
    <w:rsid w:val="00E82EBC"/>
    <w:rsid w:val="00E900D6"/>
    <w:rsid w:val="00E906A0"/>
    <w:rsid w:val="00E977AF"/>
    <w:rsid w:val="00EB17EA"/>
    <w:rsid w:val="00EB43DD"/>
    <w:rsid w:val="00EB7DF6"/>
    <w:rsid w:val="00EC0103"/>
    <w:rsid w:val="00EC660F"/>
    <w:rsid w:val="00ED60A6"/>
    <w:rsid w:val="00ED7C27"/>
    <w:rsid w:val="00F03D58"/>
    <w:rsid w:val="00F064A4"/>
    <w:rsid w:val="00F12EA4"/>
    <w:rsid w:val="00F23784"/>
    <w:rsid w:val="00F27A8E"/>
    <w:rsid w:val="00F3145F"/>
    <w:rsid w:val="00F4419D"/>
    <w:rsid w:val="00F44C41"/>
    <w:rsid w:val="00F571D0"/>
    <w:rsid w:val="00F600B4"/>
    <w:rsid w:val="00F63846"/>
    <w:rsid w:val="00F66156"/>
    <w:rsid w:val="00F73349"/>
    <w:rsid w:val="00F81244"/>
    <w:rsid w:val="00F83059"/>
    <w:rsid w:val="00F8477B"/>
    <w:rsid w:val="00F84934"/>
    <w:rsid w:val="00F95CF9"/>
    <w:rsid w:val="00F96C37"/>
    <w:rsid w:val="00FA197C"/>
    <w:rsid w:val="00FA46F4"/>
    <w:rsid w:val="00FB04AA"/>
    <w:rsid w:val="00FB2DC5"/>
    <w:rsid w:val="00FB4625"/>
    <w:rsid w:val="00FB4B2E"/>
    <w:rsid w:val="00FC07A0"/>
    <w:rsid w:val="00FC10C4"/>
    <w:rsid w:val="00FC3EEE"/>
    <w:rsid w:val="00FD2DD3"/>
    <w:rsid w:val="00FD449E"/>
    <w:rsid w:val="00FD5863"/>
    <w:rsid w:val="00FE2D59"/>
    <w:rsid w:val="00FE53DD"/>
    <w:rsid w:val="00FF04AF"/>
    <w:rsid w:val="00FF07A2"/>
    <w:rsid w:val="00FF5F5B"/>
    <w:rsid w:val="04E77B19"/>
    <w:rsid w:val="0581F5BE"/>
    <w:rsid w:val="05CAA545"/>
    <w:rsid w:val="06702029"/>
    <w:rsid w:val="0948179F"/>
    <w:rsid w:val="09803C21"/>
    <w:rsid w:val="0A42465F"/>
    <w:rsid w:val="0B57E7F6"/>
    <w:rsid w:val="0EABB3A1"/>
    <w:rsid w:val="124E86A7"/>
    <w:rsid w:val="13EA5708"/>
    <w:rsid w:val="154F5309"/>
    <w:rsid w:val="15955DBF"/>
    <w:rsid w:val="17AFF40E"/>
    <w:rsid w:val="17D2F2AC"/>
    <w:rsid w:val="1D37C9CC"/>
    <w:rsid w:val="1F9BFC46"/>
    <w:rsid w:val="250461D7"/>
    <w:rsid w:val="28B48466"/>
    <w:rsid w:val="2A8283B6"/>
    <w:rsid w:val="2B7B9C78"/>
    <w:rsid w:val="2BD84DBC"/>
    <w:rsid w:val="2FEEEEF0"/>
    <w:rsid w:val="30F0AC66"/>
    <w:rsid w:val="321C279C"/>
    <w:rsid w:val="3380FE62"/>
    <w:rsid w:val="35C31A18"/>
    <w:rsid w:val="37D057EE"/>
    <w:rsid w:val="3A484927"/>
    <w:rsid w:val="3BF96610"/>
    <w:rsid w:val="3CDB888A"/>
    <w:rsid w:val="408C555E"/>
    <w:rsid w:val="46643D11"/>
    <w:rsid w:val="475A31CC"/>
    <w:rsid w:val="477FB056"/>
    <w:rsid w:val="49065AA7"/>
    <w:rsid w:val="49A63611"/>
    <w:rsid w:val="4B9C7D57"/>
    <w:rsid w:val="4DE646BA"/>
    <w:rsid w:val="4E5ABE73"/>
    <w:rsid w:val="4F29A228"/>
    <w:rsid w:val="509C7C57"/>
    <w:rsid w:val="53976C77"/>
    <w:rsid w:val="5523A7E4"/>
    <w:rsid w:val="55333CD8"/>
    <w:rsid w:val="5677D7DD"/>
    <w:rsid w:val="56BF7845"/>
    <w:rsid w:val="577FE734"/>
    <w:rsid w:val="57E72926"/>
    <w:rsid w:val="5823A7F6"/>
    <w:rsid w:val="585AA5E6"/>
    <w:rsid w:val="585B48A6"/>
    <w:rsid w:val="59F71907"/>
    <w:rsid w:val="5C2B2157"/>
    <w:rsid w:val="5D2EB9C9"/>
    <w:rsid w:val="5D7D81E8"/>
    <w:rsid w:val="5F94A3DE"/>
    <w:rsid w:val="617345DB"/>
    <w:rsid w:val="644D8557"/>
    <w:rsid w:val="6539CBAE"/>
    <w:rsid w:val="67BBE2D1"/>
    <w:rsid w:val="68E8D6C5"/>
    <w:rsid w:val="6F7E5830"/>
    <w:rsid w:val="714A09BE"/>
    <w:rsid w:val="7164FE55"/>
    <w:rsid w:val="71AF1486"/>
    <w:rsid w:val="7557DCFE"/>
    <w:rsid w:val="788F7DC0"/>
    <w:rsid w:val="78A8F4E4"/>
    <w:rsid w:val="7BC71E82"/>
    <w:rsid w:val="7E7CA25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61C132"/>
  <w15:docId w15:val="{45812593-17A5-416E-8077-7D7A8BA9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1"/>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 w:val="24"/>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6"/>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8"/>
      </w:numPr>
    </w:pPr>
  </w:style>
  <w:style w:type="paragraph" w:customStyle="1" w:styleId="ACBodyTextBulletsLevel2">
    <w:name w:val="AC BodyText Bullets Level 2"/>
    <w:basedOn w:val="ACBodyTextBullets"/>
    <w:link w:val="ACBodyTextBulletsLevel2Char"/>
    <w:qFormat/>
    <w:rsid w:val="008A6F74"/>
    <w:pPr>
      <w:numPr>
        <w:ilvl w:val="3"/>
        <w:numId w:val="7"/>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6"/>
      </w:numPr>
    </w:pPr>
  </w:style>
  <w:style w:type="table" w:customStyle="1" w:styleId="TableGrid5">
    <w:name w:val="Table Grid5"/>
    <w:basedOn w:val="TableNormal"/>
    <w:next w:val="TableGrid"/>
    <w:rsid w:val="00FF07A2"/>
    <w:pPr>
      <w:spacing w:after="0" w:line="240" w:lineRule="auto"/>
    </w:pPr>
    <w:rPr>
      <w:rFonts w:ascii="Times New Roman" w:eastAsia="Times New Roman" w:hAnsi="Times New Roman" w:cs="Times New Roman"/>
      <w:color w:val="auto"/>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4625"/>
    <w:rPr>
      <w:color w:val="605E5C"/>
      <w:shd w:val="clear" w:color="auto" w:fill="E1DFDD"/>
    </w:rPr>
  </w:style>
  <w:style w:type="paragraph" w:styleId="Revision">
    <w:name w:val="Revision"/>
    <w:hidden/>
    <w:uiPriority w:val="99"/>
    <w:semiHidden/>
    <w:rsid w:val="001B7AF2"/>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F44C41"/>
    <w:rPr>
      <w:color w:val="954F72" w:themeColor="followedHyperlink"/>
      <w:u w:val="single"/>
    </w:rPr>
  </w:style>
  <w:style w:type="character" w:styleId="CommentReference">
    <w:name w:val="annotation reference"/>
    <w:basedOn w:val="DefaultParagraphFont"/>
    <w:uiPriority w:val="99"/>
    <w:semiHidden/>
    <w:unhideWhenUsed/>
    <w:rsid w:val="005C7B56"/>
    <w:rPr>
      <w:sz w:val="16"/>
      <w:szCs w:val="16"/>
    </w:rPr>
  </w:style>
  <w:style w:type="paragraph" w:styleId="CommentText">
    <w:name w:val="annotation text"/>
    <w:basedOn w:val="Normal"/>
    <w:link w:val="CommentTextChar"/>
    <w:uiPriority w:val="99"/>
    <w:unhideWhenUsed/>
    <w:rsid w:val="005C7B56"/>
    <w:pPr>
      <w:spacing w:line="240" w:lineRule="auto"/>
    </w:pPr>
    <w:rPr>
      <w:sz w:val="20"/>
      <w:szCs w:val="20"/>
    </w:rPr>
  </w:style>
  <w:style w:type="character" w:customStyle="1" w:styleId="CommentTextChar">
    <w:name w:val="Comment Text Char"/>
    <w:basedOn w:val="DefaultParagraphFont"/>
    <w:link w:val="CommentText"/>
    <w:uiPriority w:val="99"/>
    <w:rsid w:val="005C7B5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7B56"/>
    <w:rPr>
      <w:b/>
      <w:bCs/>
    </w:rPr>
  </w:style>
  <w:style w:type="character" w:customStyle="1" w:styleId="CommentSubjectChar">
    <w:name w:val="Comment Subject Char"/>
    <w:basedOn w:val="CommentTextChar"/>
    <w:link w:val="CommentSubject"/>
    <w:uiPriority w:val="99"/>
    <w:semiHidden/>
    <w:rsid w:val="005C7B5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0579">
      <w:bodyDiv w:val="1"/>
      <w:marLeft w:val="0"/>
      <w:marRight w:val="0"/>
      <w:marTop w:val="0"/>
      <w:marBottom w:val="0"/>
      <w:divBdr>
        <w:top w:val="none" w:sz="0" w:space="0" w:color="auto"/>
        <w:left w:val="none" w:sz="0" w:space="0" w:color="auto"/>
        <w:bottom w:val="none" w:sz="0" w:space="0" w:color="auto"/>
        <w:right w:val="none" w:sz="0" w:space="0" w:color="auto"/>
      </w:divBdr>
    </w:div>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 w:id="21412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tpass.org.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pi.govt.nz/protection-and-response/responding/alerts/myrtle-ru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zppi.co.nz/CURRENT-THREATS/19727-s11953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lantpass.org.nz/biosecurity/participatingproducer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zppi.co.nz/CURRENT-THREATS/19727-s1195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44f64d-0c77-40a8-901f-6424715a55bd" xsi:nil="true"/>
    <lcf76f155ced4ddcb4097134ff3c332f xmlns="14d26d50-950a-46b4-affd-94cfd8c365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4903C23A79A4F8C4A0FFF2F33D10C" ma:contentTypeVersion="16" ma:contentTypeDescription="Create a new document." ma:contentTypeScope="" ma:versionID="436fe704ea0bec963938c4d658eaa4b6">
  <xsd:schema xmlns:xsd="http://www.w3.org/2001/XMLSchema" xmlns:xs="http://www.w3.org/2001/XMLSchema" xmlns:p="http://schemas.microsoft.com/office/2006/metadata/properties" xmlns:ns2="14d26d50-950a-46b4-affd-94cfd8c365e4" xmlns:ns3="bf44f64d-0c77-40a8-901f-6424715a55bd" targetNamespace="http://schemas.microsoft.com/office/2006/metadata/properties" ma:root="true" ma:fieldsID="e96baacd50648a096788e2ea98221a09" ns2:_="" ns3:_="">
    <xsd:import namespace="14d26d50-950a-46b4-affd-94cfd8c365e4"/>
    <xsd:import namespace="bf44f64d-0c77-40a8-901f-6424715a55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26d50-950a-46b4-affd-94cfd8c36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b3042b-885f-480d-b59e-e43ccdf1ef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44f64d-0c77-40a8-901f-6424715a55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91690c-05f8-4f74-b18e-a847950be4b9}" ma:internalName="TaxCatchAll" ma:showField="CatchAllData" ma:web="bf44f64d-0c77-40a8-901f-6424715a55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337F-D616-4FB4-814B-7DFFA9017410}">
  <ds:schemaRefs>
    <ds:schemaRef ds:uri="http://purl.org/dc/elements/1.1/"/>
    <ds:schemaRef ds:uri="http://schemas.microsoft.com/office/2006/metadata/properties"/>
    <ds:schemaRef ds:uri="14d26d50-950a-46b4-affd-94cfd8c365e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f44f64d-0c77-40a8-901f-6424715a55bd"/>
    <ds:schemaRef ds:uri="http://www.w3.org/XML/1998/namespace"/>
    <ds:schemaRef ds:uri="http://purl.org/dc/dcmitype/"/>
  </ds:schemaRefs>
</ds:datastoreItem>
</file>

<file path=customXml/itemProps2.xml><?xml version="1.0" encoding="utf-8"?>
<ds:datastoreItem xmlns:ds="http://schemas.openxmlformats.org/officeDocument/2006/customXml" ds:itemID="{EBDA4085-5DBF-41BD-BBBC-BEFA35A6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26d50-950a-46b4-affd-94cfd8c365e4"/>
    <ds:schemaRef ds:uri="bf44f64d-0c77-40a8-901f-6424715a5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4.xml><?xml version="1.0" encoding="utf-8"?>
<ds:datastoreItem xmlns:ds="http://schemas.openxmlformats.org/officeDocument/2006/customXml" ds:itemID="{6E34DC57-4444-A040-95B9-E4EF3C77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129</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Tsang</dc:creator>
  <cp:keywords/>
  <cp:lastModifiedBy>Elesi Kauwale</cp:lastModifiedBy>
  <cp:revision>7</cp:revision>
  <cp:lastPrinted>2019-12-19T21:01:00Z</cp:lastPrinted>
  <dcterms:created xsi:type="dcterms:W3CDTF">2023-12-06T22:18:00Z</dcterms:created>
  <dcterms:modified xsi:type="dcterms:W3CDTF">2024-01-18T02:02:00Z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0x01010012E4903C23A79A4F8C4A0FFF2F33D10C</vt:lpwstr>
  </property>
  <property fmtid="{D5CDD505-2E9C-101B-9397-08002B2CF9AE}" pid="3" name="DesignSubject">
    <vt:lpwstr/>
  </property>
  <property fmtid="{D5CDD505-2E9C-101B-9397-08002B2CF9AE}" pid="4" name="GeneralTags">
    <vt:lpwstr/>
  </property>
  <property fmtid="{D5CDD505-2E9C-101B-9397-08002B2CF9AE}" pid="5" name="MediaServiceImageTags">
    <vt:lpwstr/>
  </property>
</Properties>
</file>