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5FCF" w14:textId="222435C8" w:rsidR="0001291E" w:rsidRDefault="00820245" w:rsidP="00723383">
      <w:bookmarkStart w:id="0" w:name="_Hlk15565061"/>
      <w:r>
        <w:rPr>
          <w:noProof/>
          <w:lang w:val="en-US"/>
        </w:rPr>
        <w:drawing>
          <wp:anchor distT="0" distB="0" distL="114300" distR="114300" simplePos="0" relativeHeight="251659264" behindDoc="0" locked="0" layoutInCell="1" allowOverlap="1" wp14:anchorId="69900289" wp14:editId="0C530D8B">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3AA15256" w14:textId="27B0F51E" w:rsidR="00D42A71" w:rsidRDefault="00D42A71" w:rsidP="00723383"/>
    <w:p w14:paraId="4C0EC7BA" w14:textId="279F3796" w:rsidR="00820245" w:rsidRDefault="00820245" w:rsidP="00723383"/>
    <w:p w14:paraId="24DE4DD2" w14:textId="770001B8" w:rsidR="00820245" w:rsidRDefault="00820245" w:rsidP="00723383"/>
    <w:p w14:paraId="564EDB11" w14:textId="77777777" w:rsidR="003D0BCF" w:rsidRDefault="003D0BCF" w:rsidP="00723383"/>
    <w:p w14:paraId="3020F243" w14:textId="77777777" w:rsidR="00E67013" w:rsidRDefault="00E67013" w:rsidP="00E67013">
      <w:pPr>
        <w:pStyle w:val="Title"/>
        <w:spacing w:after="0"/>
        <w:ind w:firstLine="567"/>
        <w:rPr>
          <w:b w:val="0"/>
          <w:bCs w:val="0"/>
          <w:sz w:val="24"/>
          <w:szCs w:val="24"/>
        </w:rPr>
      </w:pPr>
      <w:r>
        <w:rPr>
          <w:b w:val="0"/>
          <w:bCs w:val="0"/>
          <w:sz w:val="24"/>
          <w:szCs w:val="24"/>
        </w:rPr>
        <w:t>Auckland Unitary Plan</w:t>
      </w:r>
    </w:p>
    <w:p w14:paraId="092BC227" w14:textId="67F8995C" w:rsidR="00403AAF" w:rsidRPr="00B46B49" w:rsidRDefault="001D71C6" w:rsidP="00820245">
      <w:pPr>
        <w:pStyle w:val="Title"/>
        <w:spacing w:before="0" w:after="0"/>
        <w:ind w:left="567" w:right="1558"/>
      </w:pPr>
      <w:r>
        <w:rPr>
          <w:sz w:val="48"/>
          <w:szCs w:val="48"/>
        </w:rPr>
        <w:t xml:space="preserve">Standard </w:t>
      </w:r>
      <w:r w:rsidR="0001291E">
        <w:rPr>
          <w:sz w:val="48"/>
          <w:szCs w:val="48"/>
        </w:rPr>
        <w:t>Conditions</w:t>
      </w:r>
      <w:r w:rsidR="00004465">
        <w:rPr>
          <w:sz w:val="48"/>
          <w:szCs w:val="48"/>
        </w:rPr>
        <w:t xml:space="preserve"> </w:t>
      </w:r>
      <w:r w:rsidR="0001291E">
        <w:rPr>
          <w:sz w:val="48"/>
          <w:szCs w:val="48"/>
        </w:rPr>
        <w:t>Manual</w:t>
      </w:r>
    </w:p>
    <w:p w14:paraId="6EC417C6" w14:textId="3F45B367" w:rsidR="00723383" w:rsidRPr="00BF1568" w:rsidRDefault="00502DAA" w:rsidP="00820245">
      <w:pPr>
        <w:pStyle w:val="Subtitle"/>
        <w:spacing w:before="0" w:after="0"/>
        <w:ind w:left="567" w:right="3259"/>
        <w:rPr>
          <w:sz w:val="40"/>
          <w:szCs w:val="22"/>
        </w:rPr>
      </w:pPr>
      <w:r w:rsidRPr="00BF1568">
        <w:rPr>
          <w:sz w:val="40"/>
          <w:szCs w:val="22"/>
        </w:rPr>
        <w:fldChar w:fldCharType="begin"/>
      </w:r>
      <w:r w:rsidRPr="00BF1568">
        <w:rPr>
          <w:sz w:val="40"/>
          <w:szCs w:val="22"/>
        </w:rPr>
        <w:instrText xml:space="preserve"> SUBJECT   \* MERGEFORMAT </w:instrText>
      </w:r>
      <w:r w:rsidRPr="00BF1568">
        <w:rPr>
          <w:sz w:val="40"/>
          <w:szCs w:val="22"/>
        </w:rPr>
        <w:fldChar w:fldCharType="separate"/>
      </w:r>
      <w:r w:rsidR="00F83059">
        <w:rPr>
          <w:sz w:val="40"/>
          <w:szCs w:val="22"/>
        </w:rPr>
        <w:t>Air Quality</w:t>
      </w:r>
      <w:r w:rsidRPr="00BF1568">
        <w:rPr>
          <w:sz w:val="40"/>
          <w:szCs w:val="22"/>
        </w:rPr>
        <w:fldChar w:fldCharType="end"/>
      </w:r>
    </w:p>
    <w:p w14:paraId="5E118047" w14:textId="61B033D5" w:rsidR="00CD52EF" w:rsidRDefault="00CD52EF" w:rsidP="00820245">
      <w:pPr>
        <w:pStyle w:val="ListBullet3"/>
        <w:numPr>
          <w:ilvl w:val="0"/>
          <w:numId w:val="0"/>
        </w:numPr>
        <w:ind w:left="567" w:right="1416"/>
        <w:rPr>
          <w:sz w:val="22"/>
          <w:szCs w:val="20"/>
        </w:rPr>
      </w:pPr>
    </w:p>
    <w:p w14:paraId="3FC155A9" w14:textId="77777777" w:rsidR="003D0BCF" w:rsidRDefault="003D0BCF" w:rsidP="00820245">
      <w:pPr>
        <w:pStyle w:val="ListBullet3"/>
        <w:numPr>
          <w:ilvl w:val="0"/>
          <w:numId w:val="0"/>
        </w:numPr>
        <w:ind w:left="567" w:right="1416"/>
        <w:rPr>
          <w:sz w:val="22"/>
          <w:szCs w:val="20"/>
        </w:rPr>
      </w:pPr>
    </w:p>
    <w:p w14:paraId="503473ED" w14:textId="79845C56" w:rsidR="00D42A71" w:rsidRDefault="00D42A71" w:rsidP="00820245">
      <w:pPr>
        <w:pStyle w:val="ListBullet3"/>
        <w:numPr>
          <w:ilvl w:val="0"/>
          <w:numId w:val="0"/>
        </w:numPr>
        <w:ind w:left="567" w:right="1416"/>
        <w:rPr>
          <w:sz w:val="22"/>
          <w:szCs w:val="20"/>
        </w:rPr>
      </w:pPr>
    </w:p>
    <w:p w14:paraId="02F70AED" w14:textId="77777777" w:rsidR="00464175" w:rsidRPr="00D42A71" w:rsidRDefault="00464175" w:rsidP="00820245">
      <w:pPr>
        <w:pStyle w:val="Heading3"/>
        <w:rPr>
          <w:sz w:val="22"/>
          <w:szCs w:val="24"/>
        </w:rPr>
      </w:pPr>
      <w:r w:rsidRPr="00D42A71">
        <w:rPr>
          <w:sz w:val="22"/>
          <w:szCs w:val="24"/>
        </w:rPr>
        <w:t>Disclaimer</w:t>
      </w:r>
    </w:p>
    <w:p w14:paraId="5F89C770" w14:textId="2AC83C21" w:rsidR="001433B6" w:rsidRPr="001433B6" w:rsidRDefault="001433B6" w:rsidP="001433B6">
      <w:pPr>
        <w:spacing w:before="1" w:after="120"/>
        <w:ind w:left="567" w:right="418"/>
        <w:rPr>
          <w:rFonts w:eastAsia="Calibri" w:cs="Times New Roman"/>
          <w:i/>
          <w:iCs/>
          <w:sz w:val="22"/>
        </w:rPr>
      </w:pPr>
      <w:bookmarkStart w:id="1" w:name="_Hlk25742611"/>
      <w:r w:rsidRPr="001433B6">
        <w:rPr>
          <w:rFonts w:eastAsia="Calibri" w:cs="Times New Roman"/>
          <w:i/>
          <w:iCs/>
          <w:sz w:val="22"/>
        </w:rPr>
        <w:t xml:space="preserve">The information in this Standard Conditions Manual is, according to Auckland Council’s best efforts, accurate at the time of publication.  Auckland Council makes every reasonable effort to keep it current and accurate. However, users of the Conditions Manual are advised that: </w:t>
      </w:r>
    </w:p>
    <w:bookmarkEnd w:id="1"/>
    <w:p w14:paraId="43B4F731" w14:textId="77777777" w:rsidR="001433B6" w:rsidRPr="001433B6" w:rsidRDefault="001433B6" w:rsidP="001433B6">
      <w:pPr>
        <w:numPr>
          <w:ilvl w:val="0"/>
          <w:numId w:val="49"/>
        </w:numPr>
        <w:spacing w:after="120"/>
        <w:contextualSpacing/>
        <w:rPr>
          <w:rFonts w:eastAsia="Times New Roman" w:cs="Arial"/>
          <w:i/>
          <w:iCs/>
          <w:color w:val="000000"/>
          <w:sz w:val="22"/>
          <w:szCs w:val="24"/>
          <w:lang w:eastAsia="en-GB"/>
        </w:rPr>
      </w:pPr>
      <w:r w:rsidRPr="001433B6">
        <w:rPr>
          <w:rFonts w:eastAsia="Times New Roman" w:cs="Arial"/>
          <w:i/>
          <w:iCs/>
          <w:color w:val="000000"/>
          <w:sz w:val="22"/>
          <w:szCs w:val="24"/>
          <w:lang w:eastAsia="en-GB"/>
        </w:rPr>
        <w:t>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each and every condition.</w:t>
      </w:r>
    </w:p>
    <w:p w14:paraId="107BF509" w14:textId="77777777" w:rsidR="001433B6" w:rsidRPr="001433B6" w:rsidRDefault="001433B6" w:rsidP="001433B6">
      <w:pPr>
        <w:numPr>
          <w:ilvl w:val="0"/>
          <w:numId w:val="49"/>
        </w:numPr>
        <w:spacing w:after="120"/>
        <w:contextualSpacing/>
        <w:rPr>
          <w:rFonts w:eastAsia="Times New Roman" w:cs="Arial"/>
          <w:i/>
          <w:iCs/>
          <w:color w:val="000000"/>
          <w:sz w:val="22"/>
          <w:szCs w:val="24"/>
          <w:lang w:eastAsia="en-GB"/>
        </w:rPr>
      </w:pPr>
      <w:r w:rsidRPr="001433B6">
        <w:rPr>
          <w:rFonts w:eastAsia="Times New Roman" w:cs="Arial"/>
          <w:i/>
          <w:iCs/>
          <w:color w:val="000000"/>
          <w:sz w:val="22"/>
          <w:szCs w:val="24"/>
          <w:lang w:eastAsia="en-GB"/>
        </w:rPr>
        <w:t>The standard conditions should be used with caution as a starting point from which appropriate conditions for the individual consent should be drafted to align with the requirements of ss108, 108AA and 220 of the Resource Management Act 1991.</w:t>
      </w:r>
    </w:p>
    <w:p w14:paraId="7E7412C3" w14:textId="77777777" w:rsidR="001433B6" w:rsidRPr="001433B6" w:rsidRDefault="001433B6" w:rsidP="001433B6">
      <w:pPr>
        <w:numPr>
          <w:ilvl w:val="0"/>
          <w:numId w:val="49"/>
        </w:numPr>
        <w:spacing w:after="120"/>
        <w:contextualSpacing/>
        <w:rPr>
          <w:rFonts w:eastAsia="Times New Roman" w:cs="Arial"/>
          <w:i/>
          <w:iCs/>
          <w:color w:val="000000"/>
          <w:sz w:val="22"/>
          <w:szCs w:val="24"/>
          <w:lang w:eastAsia="en-GB"/>
        </w:rPr>
      </w:pPr>
      <w:r w:rsidRPr="001433B6">
        <w:rPr>
          <w:rFonts w:eastAsia="Times New Roman" w:cs="Arial"/>
          <w:i/>
          <w:iCs/>
          <w:color w:val="000000"/>
          <w:sz w:val="22"/>
          <w:szCs w:val="24"/>
          <w:lang w:eastAsia="en-GB"/>
        </w:rPr>
        <w:t>Further guidance as to whether to apply the conditions are included in the guidance notes that accompanies each condition.</w:t>
      </w:r>
    </w:p>
    <w:p w14:paraId="4600C165" w14:textId="77777777" w:rsidR="001433B6" w:rsidRPr="001433B6" w:rsidRDefault="001433B6" w:rsidP="001433B6">
      <w:pPr>
        <w:numPr>
          <w:ilvl w:val="0"/>
          <w:numId w:val="49"/>
        </w:numPr>
        <w:spacing w:after="120"/>
        <w:contextualSpacing/>
        <w:rPr>
          <w:rFonts w:eastAsia="Times New Roman" w:cs="Arial"/>
          <w:i/>
          <w:iCs/>
          <w:color w:val="000000"/>
          <w:sz w:val="22"/>
          <w:szCs w:val="24"/>
          <w:lang w:eastAsia="en-GB"/>
        </w:rPr>
      </w:pPr>
      <w:r w:rsidRPr="001433B6">
        <w:rPr>
          <w:rFonts w:eastAsia="Times New Roman" w:cs="Arial"/>
          <w:i/>
          <w:iCs/>
          <w:color w:val="000000"/>
          <w:sz w:val="22"/>
          <w:szCs w:val="24"/>
          <w:lang w:eastAsia="en-GB"/>
        </w:rPr>
        <w:t>Users should take specific advice from qualified professional people before undertaking any action as a result of information obtained in this Standard Conditions Manual.</w:t>
      </w:r>
    </w:p>
    <w:p w14:paraId="26081197" w14:textId="77777777" w:rsidR="001433B6" w:rsidRPr="001433B6" w:rsidRDefault="001433B6" w:rsidP="001433B6">
      <w:pPr>
        <w:numPr>
          <w:ilvl w:val="0"/>
          <w:numId w:val="49"/>
        </w:numPr>
        <w:spacing w:after="120"/>
        <w:contextualSpacing/>
        <w:rPr>
          <w:rFonts w:eastAsia="Times New Roman" w:cs="Arial"/>
          <w:i/>
          <w:iCs/>
          <w:color w:val="000000"/>
          <w:sz w:val="22"/>
          <w:szCs w:val="24"/>
          <w:lang w:eastAsia="en-GB"/>
        </w:rPr>
      </w:pPr>
      <w:r w:rsidRPr="001433B6">
        <w:rPr>
          <w:rFonts w:eastAsia="Times New Roman" w:cs="Arial"/>
          <w:i/>
          <w:iCs/>
          <w:color w:val="000000"/>
          <w:sz w:val="22"/>
          <w:szCs w:val="24"/>
          <w:lang w:eastAsia="en-GB"/>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51F48D35" w14:textId="249F1166" w:rsidR="001A3DEB" w:rsidRPr="001A3DEB" w:rsidRDefault="001A3DEB" w:rsidP="001A3DEB"/>
    <w:p w14:paraId="1F7D02A9" w14:textId="33411887" w:rsidR="001A3DEB" w:rsidRPr="001A3DEB" w:rsidRDefault="001A3DEB" w:rsidP="001A3DEB"/>
    <w:bookmarkEnd w:id="0"/>
    <w:p w14:paraId="07F9A8C6" w14:textId="5AB6864A" w:rsidR="008A6F74" w:rsidRPr="00113293" w:rsidRDefault="008A6F74" w:rsidP="001433B6">
      <w:pPr>
        <w:pStyle w:val="Heading2"/>
      </w:pPr>
      <w:r w:rsidRPr="00113293">
        <w:lastRenderedPageBreak/>
        <w:t>Introduction</w:t>
      </w:r>
    </w:p>
    <w:p w14:paraId="0FCC792B" w14:textId="560A6B25" w:rsidR="008A6F74" w:rsidRPr="008361EA" w:rsidRDefault="008A6F74" w:rsidP="008A6F74">
      <w:pPr>
        <w:pStyle w:val="ACBodyText"/>
      </w:pPr>
      <w:r w:rsidRPr="008361EA">
        <w:t xml:space="preserve">These conditions relate to the management of discharges of contaminants </w:t>
      </w:r>
      <w:r w:rsidR="00FA197C">
        <w:br/>
      </w:r>
      <w:r w:rsidRPr="008361EA">
        <w:t xml:space="preserve">into air. </w:t>
      </w:r>
    </w:p>
    <w:p w14:paraId="325113CE" w14:textId="77777777" w:rsidR="008A6F74" w:rsidRPr="008361EA" w:rsidRDefault="008A6F74" w:rsidP="008A6F74">
      <w:pPr>
        <w:pStyle w:val="ACBodyText"/>
      </w:pPr>
      <w:r w:rsidRPr="008361EA">
        <w:t xml:space="preserve">Applications should also be aware of the National Environmental Standard: Air Quality and the Auckland Regional Policy Statement when assessing effects. </w:t>
      </w:r>
    </w:p>
    <w:p w14:paraId="7E52C0AF" w14:textId="2119BBF0" w:rsidR="008A6F74" w:rsidRPr="00E24704" w:rsidRDefault="008A6F74" w:rsidP="00D42A71">
      <w:pPr>
        <w:pStyle w:val="Heading2"/>
      </w:pPr>
      <w:bookmarkStart w:id="2" w:name="_Toc491179236"/>
      <w:r w:rsidRPr="00113293">
        <w:t>Which conditions should I use?</w:t>
      </w:r>
      <w:bookmarkEnd w:id="2"/>
    </w:p>
    <w:p w14:paraId="47B6F521" w14:textId="2909D2CD" w:rsidR="008A6F74" w:rsidRPr="006670AF" w:rsidRDefault="008A6F74" w:rsidP="006670AF">
      <w:pPr>
        <w:pStyle w:val="Heading3"/>
      </w:pPr>
      <w:r w:rsidRPr="006670AF">
        <w:t xml:space="preserve">General </w:t>
      </w:r>
      <w:r w:rsidR="00FA197C" w:rsidRPr="006670AF">
        <w:t>a</w:t>
      </w:r>
      <w:r w:rsidRPr="006670AF">
        <w:t xml:space="preserve">ir </w:t>
      </w:r>
      <w:r w:rsidR="00FA197C" w:rsidRPr="006670AF">
        <w:t>q</w:t>
      </w:r>
      <w:r w:rsidRPr="006670AF">
        <w:t xml:space="preserve">uality </w:t>
      </w:r>
      <w:r w:rsidR="00FA197C" w:rsidRPr="006670AF">
        <w:t>c</w:t>
      </w:r>
      <w:r w:rsidRPr="006670AF">
        <w:t>onditions</w:t>
      </w:r>
    </w:p>
    <w:p w14:paraId="50E6E10F" w14:textId="77777777" w:rsidR="008A6F74" w:rsidRDefault="008A6F74" w:rsidP="008A6F74">
      <w:pPr>
        <w:pStyle w:val="ACBodyText"/>
      </w:pPr>
      <w:r w:rsidRPr="00113293">
        <w:t>These may be imposed on all decisions on applications for discharges of contaminants into air.</w:t>
      </w:r>
    </w:p>
    <w:tbl>
      <w:tblPr>
        <w:tblStyle w:val="TableGrid"/>
        <w:tblW w:w="4373" w:type="pct"/>
        <w:tblInd w:w="602" w:type="dxa"/>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ook w:val="04A0" w:firstRow="1" w:lastRow="0" w:firstColumn="1" w:lastColumn="0" w:noHBand="0" w:noVBand="1"/>
      </w:tblPr>
      <w:tblGrid>
        <w:gridCol w:w="2307"/>
        <w:gridCol w:w="654"/>
        <w:gridCol w:w="654"/>
        <w:gridCol w:w="655"/>
        <w:gridCol w:w="655"/>
        <w:gridCol w:w="655"/>
        <w:gridCol w:w="655"/>
        <w:gridCol w:w="616"/>
        <w:gridCol w:w="616"/>
        <w:gridCol w:w="616"/>
      </w:tblGrid>
      <w:tr w:rsidR="008A6F74" w:rsidRPr="00104A9C" w14:paraId="7DCF30B6" w14:textId="77777777" w:rsidTr="003D0BCF">
        <w:tc>
          <w:tcPr>
            <w:tcW w:w="2249" w:type="dxa"/>
            <w:vAlign w:val="center"/>
          </w:tcPr>
          <w:p w14:paraId="4454CFC5" w14:textId="44AF49D9" w:rsidR="008A6F74" w:rsidRPr="00104A9C" w:rsidRDefault="00CD52EF" w:rsidP="003D0BCF">
            <w:pPr>
              <w:pStyle w:val="ACTableText"/>
              <w:rPr>
                <w:b/>
                <w:color w:val="0070C0"/>
              </w:rPr>
            </w:pPr>
            <w:r>
              <w:rPr>
                <w:b/>
                <w:color w:val="0070C0"/>
              </w:rPr>
              <w:t>C</w:t>
            </w:r>
            <w:r w:rsidR="008A6F74">
              <w:rPr>
                <w:b/>
                <w:color w:val="0070C0"/>
              </w:rPr>
              <w:t>ondition</w:t>
            </w:r>
          </w:p>
        </w:tc>
        <w:tc>
          <w:tcPr>
            <w:tcW w:w="638" w:type="dxa"/>
            <w:vAlign w:val="center"/>
          </w:tcPr>
          <w:p w14:paraId="04B391CF" w14:textId="77777777" w:rsidR="008A6F74" w:rsidRPr="00104A9C" w:rsidRDefault="008A6F74" w:rsidP="003D0BCF">
            <w:pPr>
              <w:pStyle w:val="ACTableText"/>
              <w:rPr>
                <w:b/>
                <w:color w:val="0070C0"/>
              </w:rPr>
            </w:pPr>
            <w:r w:rsidRPr="00104A9C">
              <w:rPr>
                <w:b/>
                <w:color w:val="0070C0"/>
              </w:rPr>
              <w:t>1</w:t>
            </w:r>
          </w:p>
        </w:tc>
        <w:tc>
          <w:tcPr>
            <w:tcW w:w="638" w:type="dxa"/>
            <w:vAlign w:val="center"/>
          </w:tcPr>
          <w:p w14:paraId="77ED727C" w14:textId="77777777" w:rsidR="008A6F74" w:rsidRPr="00104A9C" w:rsidRDefault="008A6F74" w:rsidP="003D0BCF">
            <w:pPr>
              <w:pStyle w:val="ACTableText"/>
              <w:rPr>
                <w:b/>
                <w:color w:val="0070C0"/>
              </w:rPr>
            </w:pPr>
            <w:r w:rsidRPr="00104A9C">
              <w:rPr>
                <w:b/>
                <w:color w:val="0070C0"/>
              </w:rPr>
              <w:t>2</w:t>
            </w:r>
          </w:p>
        </w:tc>
        <w:tc>
          <w:tcPr>
            <w:tcW w:w="638" w:type="dxa"/>
            <w:vAlign w:val="center"/>
          </w:tcPr>
          <w:p w14:paraId="6B4DF967" w14:textId="77777777" w:rsidR="008A6F74" w:rsidRPr="00104A9C" w:rsidRDefault="008A6F74" w:rsidP="003D0BCF">
            <w:pPr>
              <w:pStyle w:val="ACTableText"/>
              <w:rPr>
                <w:b/>
                <w:color w:val="0070C0"/>
              </w:rPr>
            </w:pPr>
            <w:r w:rsidRPr="00104A9C">
              <w:rPr>
                <w:b/>
                <w:color w:val="0070C0"/>
              </w:rPr>
              <w:t>3</w:t>
            </w:r>
          </w:p>
        </w:tc>
        <w:tc>
          <w:tcPr>
            <w:tcW w:w="638" w:type="dxa"/>
            <w:vAlign w:val="center"/>
          </w:tcPr>
          <w:p w14:paraId="2965D616" w14:textId="77777777" w:rsidR="008A6F74" w:rsidRPr="00104A9C" w:rsidRDefault="008A6F74" w:rsidP="003D0BCF">
            <w:pPr>
              <w:pStyle w:val="ACTableText"/>
              <w:rPr>
                <w:b/>
                <w:color w:val="0070C0"/>
              </w:rPr>
            </w:pPr>
            <w:r w:rsidRPr="00104A9C">
              <w:rPr>
                <w:b/>
                <w:color w:val="0070C0"/>
              </w:rPr>
              <w:t>4</w:t>
            </w:r>
          </w:p>
        </w:tc>
        <w:tc>
          <w:tcPr>
            <w:tcW w:w="638" w:type="dxa"/>
            <w:vAlign w:val="center"/>
          </w:tcPr>
          <w:p w14:paraId="42D2D299" w14:textId="77777777" w:rsidR="008A6F74" w:rsidRPr="00104A9C" w:rsidRDefault="008A6F74" w:rsidP="003D0BCF">
            <w:pPr>
              <w:pStyle w:val="ACTableText"/>
              <w:rPr>
                <w:b/>
                <w:color w:val="0070C0"/>
              </w:rPr>
            </w:pPr>
            <w:r w:rsidRPr="00104A9C">
              <w:rPr>
                <w:b/>
                <w:color w:val="0070C0"/>
              </w:rPr>
              <w:t>5</w:t>
            </w:r>
          </w:p>
        </w:tc>
        <w:tc>
          <w:tcPr>
            <w:tcW w:w="638" w:type="dxa"/>
            <w:vAlign w:val="center"/>
          </w:tcPr>
          <w:p w14:paraId="2CE611CC" w14:textId="77777777" w:rsidR="008A6F74" w:rsidRPr="00104A9C" w:rsidRDefault="008A6F74" w:rsidP="003D0BCF">
            <w:pPr>
              <w:pStyle w:val="ACTableText"/>
              <w:rPr>
                <w:b/>
                <w:color w:val="0070C0"/>
              </w:rPr>
            </w:pPr>
            <w:r w:rsidRPr="00104A9C">
              <w:rPr>
                <w:b/>
                <w:color w:val="0070C0"/>
              </w:rPr>
              <w:t>6</w:t>
            </w:r>
          </w:p>
        </w:tc>
        <w:tc>
          <w:tcPr>
            <w:tcW w:w="600" w:type="dxa"/>
            <w:vAlign w:val="center"/>
          </w:tcPr>
          <w:p w14:paraId="11458D43" w14:textId="77777777" w:rsidR="008A6F74" w:rsidRPr="00104A9C" w:rsidRDefault="008A6F74" w:rsidP="003D0BCF">
            <w:pPr>
              <w:pStyle w:val="ACTableText"/>
              <w:rPr>
                <w:b/>
                <w:color w:val="0070C0"/>
              </w:rPr>
            </w:pPr>
            <w:r w:rsidRPr="00104A9C">
              <w:rPr>
                <w:b/>
                <w:color w:val="0070C0"/>
              </w:rPr>
              <w:t>7</w:t>
            </w:r>
          </w:p>
        </w:tc>
        <w:tc>
          <w:tcPr>
            <w:tcW w:w="600" w:type="dxa"/>
            <w:vAlign w:val="center"/>
          </w:tcPr>
          <w:p w14:paraId="34490820" w14:textId="77777777" w:rsidR="008A6F74" w:rsidRPr="00104A9C" w:rsidRDefault="008A6F74" w:rsidP="003D0BCF">
            <w:pPr>
              <w:pStyle w:val="ACTableText"/>
              <w:rPr>
                <w:b/>
                <w:color w:val="0070C0"/>
              </w:rPr>
            </w:pPr>
            <w:r w:rsidRPr="00104A9C">
              <w:rPr>
                <w:b/>
                <w:color w:val="0070C0"/>
              </w:rPr>
              <w:t>8</w:t>
            </w:r>
          </w:p>
        </w:tc>
        <w:tc>
          <w:tcPr>
            <w:tcW w:w="600" w:type="dxa"/>
            <w:vAlign w:val="center"/>
          </w:tcPr>
          <w:p w14:paraId="70C983B8" w14:textId="77777777" w:rsidR="008A6F74" w:rsidRPr="00104A9C" w:rsidRDefault="008A6F74" w:rsidP="003D0BCF">
            <w:pPr>
              <w:pStyle w:val="ACTableText"/>
              <w:rPr>
                <w:b/>
                <w:color w:val="0070C0"/>
              </w:rPr>
            </w:pPr>
            <w:r w:rsidRPr="00104A9C">
              <w:rPr>
                <w:b/>
                <w:color w:val="0070C0"/>
              </w:rPr>
              <w:t>9</w:t>
            </w:r>
          </w:p>
        </w:tc>
      </w:tr>
      <w:tr w:rsidR="008A6F74" w:rsidRPr="008361EA" w14:paraId="5C5004DD" w14:textId="77777777" w:rsidTr="003D0BCF">
        <w:tc>
          <w:tcPr>
            <w:tcW w:w="2249" w:type="dxa"/>
            <w:vAlign w:val="center"/>
          </w:tcPr>
          <w:p w14:paraId="108CB486" w14:textId="77777777" w:rsidR="008A6F74" w:rsidRPr="008361EA" w:rsidRDefault="008A6F74" w:rsidP="003D0BCF">
            <w:pPr>
              <w:pStyle w:val="ACTableText"/>
            </w:pPr>
            <w:r w:rsidRPr="008361EA">
              <w:t>Required for all consents</w:t>
            </w:r>
          </w:p>
        </w:tc>
        <w:tc>
          <w:tcPr>
            <w:tcW w:w="638" w:type="dxa"/>
            <w:vAlign w:val="center"/>
          </w:tcPr>
          <w:p w14:paraId="00F63CA5" w14:textId="77777777" w:rsidR="008A6F74" w:rsidRPr="008361EA" w:rsidRDefault="008A6F74" w:rsidP="003D0BCF">
            <w:pPr>
              <w:pStyle w:val="ACTableText"/>
            </w:pPr>
            <w:r w:rsidRPr="008361EA">
              <w:t>√</w:t>
            </w:r>
          </w:p>
        </w:tc>
        <w:tc>
          <w:tcPr>
            <w:tcW w:w="638" w:type="dxa"/>
            <w:vAlign w:val="center"/>
          </w:tcPr>
          <w:p w14:paraId="01812FC1" w14:textId="77777777" w:rsidR="008A6F74" w:rsidRPr="008361EA" w:rsidRDefault="008A6F74" w:rsidP="003D0BCF">
            <w:pPr>
              <w:pStyle w:val="ACTableText"/>
            </w:pPr>
            <w:r w:rsidRPr="008361EA">
              <w:t>√</w:t>
            </w:r>
          </w:p>
        </w:tc>
        <w:tc>
          <w:tcPr>
            <w:tcW w:w="638" w:type="dxa"/>
            <w:vAlign w:val="center"/>
          </w:tcPr>
          <w:p w14:paraId="5411C03A" w14:textId="77777777" w:rsidR="008A6F74" w:rsidRPr="008361EA" w:rsidRDefault="008A6F74" w:rsidP="003D0BCF">
            <w:pPr>
              <w:pStyle w:val="ACTableText"/>
            </w:pPr>
            <w:r w:rsidRPr="008361EA">
              <w:t>√</w:t>
            </w:r>
          </w:p>
        </w:tc>
        <w:tc>
          <w:tcPr>
            <w:tcW w:w="638" w:type="dxa"/>
            <w:vAlign w:val="center"/>
          </w:tcPr>
          <w:p w14:paraId="4808507D" w14:textId="77777777" w:rsidR="008A6F74" w:rsidRPr="008361EA" w:rsidRDefault="008A6F74" w:rsidP="003D0BCF">
            <w:pPr>
              <w:pStyle w:val="ACTableText"/>
            </w:pPr>
            <w:r w:rsidRPr="008361EA">
              <w:t>√</w:t>
            </w:r>
          </w:p>
        </w:tc>
        <w:tc>
          <w:tcPr>
            <w:tcW w:w="638" w:type="dxa"/>
            <w:vAlign w:val="center"/>
          </w:tcPr>
          <w:p w14:paraId="0204ADB8" w14:textId="77777777" w:rsidR="008A6F74" w:rsidRPr="008361EA" w:rsidRDefault="008A6F74" w:rsidP="003D0BCF">
            <w:pPr>
              <w:pStyle w:val="ACTableText"/>
            </w:pPr>
            <w:r w:rsidRPr="008361EA">
              <w:t>√</w:t>
            </w:r>
          </w:p>
        </w:tc>
        <w:tc>
          <w:tcPr>
            <w:tcW w:w="638" w:type="dxa"/>
            <w:vAlign w:val="center"/>
          </w:tcPr>
          <w:p w14:paraId="08892B50" w14:textId="77777777" w:rsidR="008A6F74" w:rsidRPr="008361EA" w:rsidRDefault="008A6F74" w:rsidP="003D0BCF">
            <w:pPr>
              <w:pStyle w:val="ACTableText"/>
            </w:pPr>
            <w:r w:rsidRPr="008361EA">
              <w:t>√</w:t>
            </w:r>
          </w:p>
        </w:tc>
        <w:tc>
          <w:tcPr>
            <w:tcW w:w="600" w:type="dxa"/>
            <w:vAlign w:val="center"/>
          </w:tcPr>
          <w:p w14:paraId="114F49C6" w14:textId="77777777" w:rsidR="008A6F74" w:rsidRPr="008361EA" w:rsidRDefault="008A6F74" w:rsidP="003D0BCF">
            <w:pPr>
              <w:pStyle w:val="ACTableText"/>
            </w:pPr>
            <w:r w:rsidRPr="008361EA">
              <w:t>√</w:t>
            </w:r>
          </w:p>
        </w:tc>
        <w:tc>
          <w:tcPr>
            <w:tcW w:w="600" w:type="dxa"/>
            <w:vAlign w:val="center"/>
          </w:tcPr>
          <w:p w14:paraId="29CDF3C2" w14:textId="77777777" w:rsidR="008A6F74" w:rsidRPr="008361EA" w:rsidRDefault="008A6F74" w:rsidP="003D0BCF">
            <w:pPr>
              <w:pStyle w:val="ACTableText"/>
            </w:pPr>
          </w:p>
        </w:tc>
        <w:tc>
          <w:tcPr>
            <w:tcW w:w="600" w:type="dxa"/>
            <w:vAlign w:val="center"/>
          </w:tcPr>
          <w:p w14:paraId="5D0D24F7" w14:textId="77777777" w:rsidR="008A6F74" w:rsidRPr="008361EA" w:rsidRDefault="008A6F74" w:rsidP="003D0BCF">
            <w:pPr>
              <w:pStyle w:val="ACTableText"/>
            </w:pPr>
          </w:p>
        </w:tc>
      </w:tr>
      <w:tr w:rsidR="008A6F74" w:rsidRPr="008361EA" w14:paraId="26D8D6A8" w14:textId="77777777" w:rsidTr="003D0BCF">
        <w:tc>
          <w:tcPr>
            <w:tcW w:w="2249" w:type="dxa"/>
            <w:vAlign w:val="center"/>
          </w:tcPr>
          <w:p w14:paraId="04D76E73" w14:textId="77777777" w:rsidR="008A6F74" w:rsidRPr="008361EA" w:rsidRDefault="008A6F74" w:rsidP="003D0BCF">
            <w:pPr>
              <w:pStyle w:val="ACTableText"/>
            </w:pPr>
            <w:r w:rsidRPr="008361EA">
              <w:t>May be required depending on nature of consent</w:t>
            </w:r>
          </w:p>
        </w:tc>
        <w:tc>
          <w:tcPr>
            <w:tcW w:w="638" w:type="dxa"/>
            <w:vAlign w:val="center"/>
          </w:tcPr>
          <w:p w14:paraId="57B4F549" w14:textId="77777777" w:rsidR="008A6F74" w:rsidRPr="008361EA" w:rsidRDefault="008A6F74" w:rsidP="003D0BCF">
            <w:pPr>
              <w:pStyle w:val="ACTableText"/>
            </w:pPr>
          </w:p>
        </w:tc>
        <w:tc>
          <w:tcPr>
            <w:tcW w:w="638" w:type="dxa"/>
            <w:vAlign w:val="center"/>
          </w:tcPr>
          <w:p w14:paraId="5432E49C" w14:textId="77777777" w:rsidR="008A6F74" w:rsidRPr="008361EA" w:rsidRDefault="008A6F74" w:rsidP="003D0BCF">
            <w:pPr>
              <w:pStyle w:val="ACTableText"/>
            </w:pPr>
          </w:p>
        </w:tc>
        <w:tc>
          <w:tcPr>
            <w:tcW w:w="638" w:type="dxa"/>
            <w:vAlign w:val="center"/>
          </w:tcPr>
          <w:p w14:paraId="3F790E83" w14:textId="77777777" w:rsidR="008A6F74" w:rsidRPr="008361EA" w:rsidRDefault="008A6F74" w:rsidP="003D0BCF">
            <w:pPr>
              <w:pStyle w:val="ACTableText"/>
            </w:pPr>
          </w:p>
        </w:tc>
        <w:tc>
          <w:tcPr>
            <w:tcW w:w="638" w:type="dxa"/>
            <w:vAlign w:val="center"/>
          </w:tcPr>
          <w:p w14:paraId="222E8944" w14:textId="77777777" w:rsidR="008A6F74" w:rsidRPr="008361EA" w:rsidRDefault="008A6F74" w:rsidP="003D0BCF">
            <w:pPr>
              <w:pStyle w:val="ACTableText"/>
            </w:pPr>
          </w:p>
        </w:tc>
        <w:tc>
          <w:tcPr>
            <w:tcW w:w="638" w:type="dxa"/>
            <w:vAlign w:val="center"/>
          </w:tcPr>
          <w:p w14:paraId="6E54A8BA" w14:textId="77777777" w:rsidR="008A6F74" w:rsidRPr="008361EA" w:rsidRDefault="008A6F74" w:rsidP="003D0BCF">
            <w:pPr>
              <w:pStyle w:val="ACTableText"/>
            </w:pPr>
          </w:p>
        </w:tc>
        <w:tc>
          <w:tcPr>
            <w:tcW w:w="638" w:type="dxa"/>
            <w:vAlign w:val="center"/>
          </w:tcPr>
          <w:p w14:paraId="40D9DC29" w14:textId="77777777" w:rsidR="008A6F74" w:rsidRPr="008361EA" w:rsidRDefault="008A6F74" w:rsidP="003D0BCF">
            <w:pPr>
              <w:pStyle w:val="ACTableText"/>
            </w:pPr>
          </w:p>
        </w:tc>
        <w:tc>
          <w:tcPr>
            <w:tcW w:w="600" w:type="dxa"/>
            <w:vAlign w:val="center"/>
          </w:tcPr>
          <w:p w14:paraId="00DFDCA7" w14:textId="77777777" w:rsidR="008A6F74" w:rsidRPr="008361EA" w:rsidRDefault="008A6F74" w:rsidP="003D0BCF">
            <w:pPr>
              <w:pStyle w:val="ACTableText"/>
            </w:pPr>
          </w:p>
        </w:tc>
        <w:tc>
          <w:tcPr>
            <w:tcW w:w="600" w:type="dxa"/>
            <w:vAlign w:val="center"/>
          </w:tcPr>
          <w:p w14:paraId="27209849" w14:textId="77777777" w:rsidR="008A6F74" w:rsidRPr="008361EA" w:rsidRDefault="008A6F74" w:rsidP="003D0BCF">
            <w:pPr>
              <w:pStyle w:val="ACTableText"/>
            </w:pPr>
            <w:r w:rsidRPr="008361EA">
              <w:t>√</w:t>
            </w:r>
          </w:p>
        </w:tc>
        <w:tc>
          <w:tcPr>
            <w:tcW w:w="600" w:type="dxa"/>
            <w:vAlign w:val="center"/>
          </w:tcPr>
          <w:p w14:paraId="287EE30B" w14:textId="77777777" w:rsidR="008A6F74" w:rsidRPr="008361EA" w:rsidRDefault="008A6F74" w:rsidP="003D0BCF">
            <w:pPr>
              <w:pStyle w:val="ACTableText"/>
            </w:pPr>
            <w:r w:rsidRPr="008361EA">
              <w:t>√</w:t>
            </w:r>
          </w:p>
        </w:tc>
      </w:tr>
      <w:tr w:rsidR="008A6F74" w:rsidRPr="00104A9C" w14:paraId="60E3AB81" w14:textId="77777777" w:rsidTr="003D0BCF">
        <w:tc>
          <w:tcPr>
            <w:tcW w:w="2249" w:type="dxa"/>
            <w:vAlign w:val="center"/>
          </w:tcPr>
          <w:p w14:paraId="67AFA8F5" w14:textId="03BF134C" w:rsidR="008A6F74" w:rsidRPr="00104A9C" w:rsidRDefault="00CD52EF" w:rsidP="003D0BCF">
            <w:pPr>
              <w:pStyle w:val="ACTableText"/>
              <w:rPr>
                <w:b/>
                <w:color w:val="0070C0"/>
              </w:rPr>
            </w:pPr>
            <w:r>
              <w:rPr>
                <w:b/>
                <w:color w:val="0070C0"/>
              </w:rPr>
              <w:t>C</w:t>
            </w:r>
            <w:r w:rsidR="008A6F74">
              <w:rPr>
                <w:b/>
                <w:color w:val="0070C0"/>
              </w:rPr>
              <w:t>ondition</w:t>
            </w:r>
          </w:p>
        </w:tc>
        <w:tc>
          <w:tcPr>
            <w:tcW w:w="638" w:type="dxa"/>
            <w:vAlign w:val="center"/>
          </w:tcPr>
          <w:p w14:paraId="58F1B0DB" w14:textId="77777777" w:rsidR="008A6F74" w:rsidRPr="00104A9C" w:rsidRDefault="008A6F74" w:rsidP="003D0BCF">
            <w:pPr>
              <w:pStyle w:val="ACTableText"/>
              <w:rPr>
                <w:b/>
                <w:color w:val="0070C0"/>
              </w:rPr>
            </w:pPr>
            <w:r w:rsidRPr="00104A9C">
              <w:rPr>
                <w:b/>
                <w:color w:val="0070C0"/>
              </w:rPr>
              <w:t>10</w:t>
            </w:r>
          </w:p>
        </w:tc>
        <w:tc>
          <w:tcPr>
            <w:tcW w:w="638" w:type="dxa"/>
            <w:vAlign w:val="center"/>
          </w:tcPr>
          <w:p w14:paraId="4B1AAEA7" w14:textId="77777777" w:rsidR="008A6F74" w:rsidRPr="00104A9C" w:rsidRDefault="008A6F74" w:rsidP="003D0BCF">
            <w:pPr>
              <w:pStyle w:val="ACTableText"/>
              <w:rPr>
                <w:b/>
                <w:color w:val="0070C0"/>
              </w:rPr>
            </w:pPr>
            <w:r w:rsidRPr="00104A9C">
              <w:rPr>
                <w:b/>
                <w:color w:val="0070C0"/>
              </w:rPr>
              <w:t>11</w:t>
            </w:r>
          </w:p>
        </w:tc>
        <w:tc>
          <w:tcPr>
            <w:tcW w:w="638" w:type="dxa"/>
            <w:vAlign w:val="center"/>
          </w:tcPr>
          <w:p w14:paraId="59AB287D" w14:textId="77777777" w:rsidR="008A6F74" w:rsidRPr="00104A9C" w:rsidRDefault="008A6F74" w:rsidP="003D0BCF">
            <w:pPr>
              <w:pStyle w:val="ACTableText"/>
              <w:rPr>
                <w:b/>
                <w:color w:val="0070C0"/>
              </w:rPr>
            </w:pPr>
            <w:r w:rsidRPr="00104A9C">
              <w:rPr>
                <w:b/>
                <w:color w:val="0070C0"/>
              </w:rPr>
              <w:t>12</w:t>
            </w:r>
          </w:p>
        </w:tc>
        <w:tc>
          <w:tcPr>
            <w:tcW w:w="638" w:type="dxa"/>
            <w:vAlign w:val="center"/>
          </w:tcPr>
          <w:p w14:paraId="163D2BDD" w14:textId="77777777" w:rsidR="008A6F74" w:rsidRPr="00104A9C" w:rsidRDefault="008A6F74" w:rsidP="003D0BCF">
            <w:pPr>
              <w:pStyle w:val="ACTableText"/>
              <w:rPr>
                <w:b/>
                <w:color w:val="0070C0"/>
              </w:rPr>
            </w:pPr>
            <w:r w:rsidRPr="00104A9C">
              <w:rPr>
                <w:b/>
                <w:color w:val="0070C0"/>
              </w:rPr>
              <w:t>13</w:t>
            </w:r>
          </w:p>
        </w:tc>
        <w:tc>
          <w:tcPr>
            <w:tcW w:w="638" w:type="dxa"/>
            <w:vAlign w:val="center"/>
          </w:tcPr>
          <w:p w14:paraId="43C878B4" w14:textId="77777777" w:rsidR="008A6F74" w:rsidRPr="00104A9C" w:rsidRDefault="008A6F74" w:rsidP="003D0BCF">
            <w:pPr>
              <w:pStyle w:val="ACTableText"/>
              <w:rPr>
                <w:b/>
                <w:color w:val="0070C0"/>
              </w:rPr>
            </w:pPr>
            <w:r w:rsidRPr="00104A9C">
              <w:rPr>
                <w:b/>
                <w:color w:val="0070C0"/>
              </w:rPr>
              <w:t>14</w:t>
            </w:r>
          </w:p>
        </w:tc>
        <w:tc>
          <w:tcPr>
            <w:tcW w:w="638" w:type="dxa"/>
            <w:vAlign w:val="center"/>
          </w:tcPr>
          <w:p w14:paraId="7CCB6CCD" w14:textId="77777777" w:rsidR="008A6F74" w:rsidRPr="00104A9C" w:rsidRDefault="008A6F74" w:rsidP="003D0BCF">
            <w:pPr>
              <w:pStyle w:val="ACTableText"/>
              <w:rPr>
                <w:b/>
                <w:color w:val="0070C0"/>
              </w:rPr>
            </w:pPr>
            <w:r w:rsidRPr="00104A9C">
              <w:rPr>
                <w:b/>
                <w:color w:val="0070C0"/>
              </w:rPr>
              <w:t>15</w:t>
            </w:r>
          </w:p>
        </w:tc>
        <w:tc>
          <w:tcPr>
            <w:tcW w:w="600" w:type="dxa"/>
            <w:vAlign w:val="center"/>
          </w:tcPr>
          <w:p w14:paraId="2319E564" w14:textId="77777777" w:rsidR="008A6F74" w:rsidRPr="00104A9C" w:rsidRDefault="008A6F74" w:rsidP="003D0BCF">
            <w:pPr>
              <w:pStyle w:val="ACTableText"/>
              <w:rPr>
                <w:b/>
                <w:color w:val="0070C0"/>
              </w:rPr>
            </w:pPr>
          </w:p>
        </w:tc>
        <w:tc>
          <w:tcPr>
            <w:tcW w:w="600" w:type="dxa"/>
            <w:vAlign w:val="center"/>
          </w:tcPr>
          <w:p w14:paraId="3381FCFA" w14:textId="77777777" w:rsidR="008A6F74" w:rsidRPr="00104A9C" w:rsidRDefault="008A6F74" w:rsidP="003D0BCF">
            <w:pPr>
              <w:pStyle w:val="ACTableText"/>
              <w:rPr>
                <w:b/>
                <w:color w:val="0070C0"/>
              </w:rPr>
            </w:pPr>
          </w:p>
        </w:tc>
        <w:tc>
          <w:tcPr>
            <w:tcW w:w="600" w:type="dxa"/>
            <w:vAlign w:val="center"/>
          </w:tcPr>
          <w:p w14:paraId="1CD2DFE2" w14:textId="77777777" w:rsidR="008A6F74" w:rsidRPr="00104A9C" w:rsidRDefault="008A6F74" w:rsidP="003D0BCF">
            <w:pPr>
              <w:pStyle w:val="ACTableText"/>
              <w:rPr>
                <w:b/>
                <w:color w:val="0070C0"/>
              </w:rPr>
            </w:pPr>
          </w:p>
        </w:tc>
      </w:tr>
      <w:tr w:rsidR="008A6F74" w:rsidRPr="008361EA" w14:paraId="19C89B7D" w14:textId="77777777" w:rsidTr="003D0BCF">
        <w:tc>
          <w:tcPr>
            <w:tcW w:w="2249" w:type="dxa"/>
            <w:vAlign w:val="center"/>
          </w:tcPr>
          <w:p w14:paraId="19375BDE" w14:textId="77777777" w:rsidR="008A6F74" w:rsidRPr="008361EA" w:rsidRDefault="008A6F74" w:rsidP="003D0BCF">
            <w:pPr>
              <w:pStyle w:val="ACTableText"/>
            </w:pPr>
            <w:r w:rsidRPr="008361EA">
              <w:t>Required for all consents</w:t>
            </w:r>
          </w:p>
        </w:tc>
        <w:tc>
          <w:tcPr>
            <w:tcW w:w="638" w:type="dxa"/>
            <w:vAlign w:val="center"/>
          </w:tcPr>
          <w:p w14:paraId="7BCC0B9E" w14:textId="77777777" w:rsidR="008A6F74" w:rsidRPr="008361EA" w:rsidRDefault="008A6F74" w:rsidP="003D0BCF">
            <w:pPr>
              <w:pStyle w:val="ACTableText"/>
            </w:pPr>
          </w:p>
        </w:tc>
        <w:tc>
          <w:tcPr>
            <w:tcW w:w="638" w:type="dxa"/>
            <w:vAlign w:val="center"/>
          </w:tcPr>
          <w:p w14:paraId="5DE6A089" w14:textId="77777777" w:rsidR="008A6F74" w:rsidRPr="008361EA" w:rsidRDefault="008A6F74" w:rsidP="003D0BCF">
            <w:pPr>
              <w:pStyle w:val="ACTableText"/>
            </w:pPr>
          </w:p>
        </w:tc>
        <w:tc>
          <w:tcPr>
            <w:tcW w:w="638" w:type="dxa"/>
            <w:vAlign w:val="center"/>
          </w:tcPr>
          <w:p w14:paraId="73A99696" w14:textId="77777777" w:rsidR="008A6F74" w:rsidRPr="008361EA" w:rsidRDefault="008A6F74" w:rsidP="003D0BCF">
            <w:pPr>
              <w:pStyle w:val="ACTableText"/>
            </w:pPr>
          </w:p>
        </w:tc>
        <w:tc>
          <w:tcPr>
            <w:tcW w:w="638" w:type="dxa"/>
            <w:vAlign w:val="center"/>
          </w:tcPr>
          <w:p w14:paraId="4C02EB22" w14:textId="77777777" w:rsidR="008A6F74" w:rsidRPr="008361EA" w:rsidRDefault="008A6F74" w:rsidP="003D0BCF">
            <w:pPr>
              <w:pStyle w:val="ACTableText"/>
            </w:pPr>
          </w:p>
        </w:tc>
        <w:tc>
          <w:tcPr>
            <w:tcW w:w="638" w:type="dxa"/>
            <w:vAlign w:val="center"/>
          </w:tcPr>
          <w:p w14:paraId="27034DE5" w14:textId="77777777" w:rsidR="008A6F74" w:rsidRPr="008361EA" w:rsidRDefault="008A6F74" w:rsidP="003D0BCF">
            <w:pPr>
              <w:pStyle w:val="ACTableText"/>
            </w:pPr>
          </w:p>
        </w:tc>
        <w:tc>
          <w:tcPr>
            <w:tcW w:w="638" w:type="dxa"/>
            <w:vAlign w:val="center"/>
          </w:tcPr>
          <w:p w14:paraId="44D01C2A" w14:textId="77777777" w:rsidR="008A6F74" w:rsidRPr="008361EA" w:rsidRDefault="008A6F74" w:rsidP="003D0BCF">
            <w:pPr>
              <w:pStyle w:val="ACTableText"/>
            </w:pPr>
          </w:p>
        </w:tc>
        <w:tc>
          <w:tcPr>
            <w:tcW w:w="600" w:type="dxa"/>
            <w:vAlign w:val="center"/>
          </w:tcPr>
          <w:p w14:paraId="7ED54627" w14:textId="77777777" w:rsidR="008A6F74" w:rsidRPr="008361EA" w:rsidRDefault="008A6F74" w:rsidP="003D0BCF">
            <w:pPr>
              <w:pStyle w:val="ACTableText"/>
            </w:pPr>
          </w:p>
        </w:tc>
        <w:tc>
          <w:tcPr>
            <w:tcW w:w="600" w:type="dxa"/>
            <w:vAlign w:val="center"/>
          </w:tcPr>
          <w:p w14:paraId="56F150A2" w14:textId="77777777" w:rsidR="008A6F74" w:rsidRPr="008361EA" w:rsidRDefault="008A6F74" w:rsidP="003D0BCF">
            <w:pPr>
              <w:pStyle w:val="ACTableText"/>
            </w:pPr>
          </w:p>
        </w:tc>
        <w:tc>
          <w:tcPr>
            <w:tcW w:w="600" w:type="dxa"/>
            <w:vAlign w:val="center"/>
          </w:tcPr>
          <w:p w14:paraId="02AF4A78" w14:textId="77777777" w:rsidR="008A6F74" w:rsidRPr="008361EA" w:rsidRDefault="008A6F74" w:rsidP="003D0BCF">
            <w:pPr>
              <w:pStyle w:val="ACTableText"/>
            </w:pPr>
          </w:p>
        </w:tc>
      </w:tr>
      <w:tr w:rsidR="008A6F74" w:rsidRPr="008361EA" w14:paraId="1133F560" w14:textId="77777777" w:rsidTr="003D0BCF">
        <w:tc>
          <w:tcPr>
            <w:tcW w:w="2249" w:type="dxa"/>
            <w:vAlign w:val="center"/>
          </w:tcPr>
          <w:p w14:paraId="4001BF3D" w14:textId="77777777" w:rsidR="008A6F74" w:rsidRPr="008361EA" w:rsidRDefault="008A6F74" w:rsidP="003D0BCF">
            <w:pPr>
              <w:pStyle w:val="ACTableText"/>
            </w:pPr>
            <w:r w:rsidRPr="008361EA">
              <w:t>May be required depending on nature of consent</w:t>
            </w:r>
          </w:p>
        </w:tc>
        <w:tc>
          <w:tcPr>
            <w:tcW w:w="638" w:type="dxa"/>
            <w:vAlign w:val="center"/>
          </w:tcPr>
          <w:p w14:paraId="1E1253D0" w14:textId="77777777" w:rsidR="008A6F74" w:rsidRPr="008361EA" w:rsidRDefault="008A6F74" w:rsidP="003D0BCF">
            <w:pPr>
              <w:pStyle w:val="ACTableText"/>
            </w:pPr>
            <w:r w:rsidRPr="008361EA">
              <w:t>√</w:t>
            </w:r>
          </w:p>
        </w:tc>
        <w:tc>
          <w:tcPr>
            <w:tcW w:w="638" w:type="dxa"/>
            <w:vAlign w:val="center"/>
          </w:tcPr>
          <w:p w14:paraId="4026256F" w14:textId="77777777" w:rsidR="008A6F74" w:rsidRPr="008361EA" w:rsidRDefault="008A6F74" w:rsidP="003D0BCF">
            <w:pPr>
              <w:pStyle w:val="ACTableText"/>
            </w:pPr>
            <w:r w:rsidRPr="008361EA">
              <w:t>√</w:t>
            </w:r>
          </w:p>
        </w:tc>
        <w:tc>
          <w:tcPr>
            <w:tcW w:w="638" w:type="dxa"/>
            <w:vAlign w:val="center"/>
          </w:tcPr>
          <w:p w14:paraId="1276E91F" w14:textId="77777777" w:rsidR="008A6F74" w:rsidRPr="008361EA" w:rsidRDefault="008A6F74" w:rsidP="003D0BCF">
            <w:pPr>
              <w:pStyle w:val="ACTableText"/>
            </w:pPr>
            <w:r w:rsidRPr="008361EA">
              <w:t>√</w:t>
            </w:r>
          </w:p>
        </w:tc>
        <w:tc>
          <w:tcPr>
            <w:tcW w:w="638" w:type="dxa"/>
            <w:vAlign w:val="center"/>
          </w:tcPr>
          <w:p w14:paraId="76D9FCE9" w14:textId="77777777" w:rsidR="008A6F74" w:rsidRPr="008361EA" w:rsidRDefault="008A6F74" w:rsidP="003D0BCF">
            <w:pPr>
              <w:pStyle w:val="ACTableText"/>
            </w:pPr>
            <w:r w:rsidRPr="008361EA">
              <w:t>√</w:t>
            </w:r>
          </w:p>
        </w:tc>
        <w:tc>
          <w:tcPr>
            <w:tcW w:w="638" w:type="dxa"/>
            <w:vAlign w:val="center"/>
          </w:tcPr>
          <w:p w14:paraId="23C86EC2" w14:textId="77777777" w:rsidR="008A6F74" w:rsidRPr="008361EA" w:rsidRDefault="008A6F74" w:rsidP="003D0BCF">
            <w:pPr>
              <w:pStyle w:val="ACTableText"/>
            </w:pPr>
            <w:r w:rsidRPr="008361EA">
              <w:t>√</w:t>
            </w:r>
          </w:p>
        </w:tc>
        <w:tc>
          <w:tcPr>
            <w:tcW w:w="638" w:type="dxa"/>
            <w:vAlign w:val="center"/>
          </w:tcPr>
          <w:p w14:paraId="5B4DC28B" w14:textId="77777777" w:rsidR="008A6F74" w:rsidRPr="008361EA" w:rsidRDefault="008A6F74" w:rsidP="003D0BCF">
            <w:pPr>
              <w:pStyle w:val="ACTableText"/>
            </w:pPr>
            <w:r w:rsidRPr="008361EA">
              <w:t>√</w:t>
            </w:r>
          </w:p>
        </w:tc>
        <w:tc>
          <w:tcPr>
            <w:tcW w:w="600" w:type="dxa"/>
            <w:vAlign w:val="center"/>
          </w:tcPr>
          <w:p w14:paraId="512D45EE" w14:textId="77777777" w:rsidR="008A6F74" w:rsidRPr="008361EA" w:rsidRDefault="008A6F74" w:rsidP="003D0BCF">
            <w:pPr>
              <w:pStyle w:val="ACTableText"/>
            </w:pPr>
          </w:p>
        </w:tc>
        <w:tc>
          <w:tcPr>
            <w:tcW w:w="600" w:type="dxa"/>
            <w:vAlign w:val="center"/>
          </w:tcPr>
          <w:p w14:paraId="50E0A9D4" w14:textId="77777777" w:rsidR="008A6F74" w:rsidRPr="008361EA" w:rsidRDefault="008A6F74" w:rsidP="003D0BCF">
            <w:pPr>
              <w:pStyle w:val="ACTableText"/>
            </w:pPr>
          </w:p>
        </w:tc>
        <w:tc>
          <w:tcPr>
            <w:tcW w:w="600" w:type="dxa"/>
            <w:vAlign w:val="center"/>
          </w:tcPr>
          <w:p w14:paraId="55E01935" w14:textId="77777777" w:rsidR="008A6F74" w:rsidRPr="008361EA" w:rsidRDefault="008A6F74" w:rsidP="003D0BCF">
            <w:pPr>
              <w:pStyle w:val="ACTableText"/>
            </w:pPr>
          </w:p>
        </w:tc>
      </w:tr>
    </w:tbl>
    <w:p w14:paraId="115925AA" w14:textId="77777777" w:rsidR="008A6F74" w:rsidRDefault="008A6F74" w:rsidP="008A6F74">
      <w:pPr>
        <w:pStyle w:val="ACBodyTextHeader"/>
      </w:pPr>
    </w:p>
    <w:p w14:paraId="2406B0AB" w14:textId="77777777" w:rsidR="008A6F74" w:rsidRPr="00113293" w:rsidRDefault="008A6F74" w:rsidP="0005071B">
      <w:pPr>
        <w:pStyle w:val="Heading3NoNumber"/>
      </w:pPr>
      <w:r w:rsidRPr="00113293">
        <w:t>Activity types</w:t>
      </w:r>
    </w:p>
    <w:p w14:paraId="2FB455A8" w14:textId="77777777" w:rsidR="008A6F74" w:rsidRPr="007E1276" w:rsidRDefault="008A6F74" w:rsidP="008A6F74">
      <w:pPr>
        <w:pStyle w:val="ACBodyText"/>
      </w:pPr>
      <w:r w:rsidRPr="007E1276">
        <w:t>We have process and monitoring conditions for activities such as:</w:t>
      </w:r>
    </w:p>
    <w:p w14:paraId="3446D716" w14:textId="77777777" w:rsidR="008A6F74" w:rsidRPr="007E1276" w:rsidRDefault="008A6F74" w:rsidP="008A6F74">
      <w:pPr>
        <w:pStyle w:val="ACBodyTextBullets"/>
      </w:pPr>
      <w:r w:rsidRPr="007E1276">
        <w:t>Refuse transfer stations</w:t>
      </w:r>
    </w:p>
    <w:p w14:paraId="1CB644A8" w14:textId="77777777" w:rsidR="008A6F74" w:rsidRPr="007E1276" w:rsidRDefault="008A6F74" w:rsidP="008A6F74">
      <w:pPr>
        <w:pStyle w:val="ACBodyTextBullets"/>
      </w:pPr>
      <w:r w:rsidRPr="007E1276">
        <w:t>Crematoria</w:t>
      </w:r>
    </w:p>
    <w:p w14:paraId="17749675" w14:textId="77777777" w:rsidR="008A6F74" w:rsidRPr="007E1276" w:rsidRDefault="008A6F74" w:rsidP="008A6F74">
      <w:pPr>
        <w:pStyle w:val="ACBodyTextBullets"/>
      </w:pPr>
      <w:r w:rsidRPr="007E1276">
        <w:t>Chicken farms</w:t>
      </w:r>
    </w:p>
    <w:p w14:paraId="6EBCCD89" w14:textId="77777777" w:rsidR="008A6F74" w:rsidRPr="007E1276" w:rsidRDefault="008A6F74" w:rsidP="008A6F74">
      <w:pPr>
        <w:pStyle w:val="ACBodyTextBullets"/>
      </w:pPr>
      <w:r w:rsidRPr="007E1276">
        <w:t>Power stations</w:t>
      </w:r>
    </w:p>
    <w:p w14:paraId="5C25E21A" w14:textId="77777777" w:rsidR="008A6F74" w:rsidRPr="007E1276" w:rsidRDefault="008A6F74" w:rsidP="008A6F74">
      <w:pPr>
        <w:pStyle w:val="ACBodyTextBullets"/>
      </w:pPr>
      <w:r w:rsidRPr="007E1276">
        <w:t>Contaminated land</w:t>
      </w:r>
    </w:p>
    <w:p w14:paraId="345FD77D" w14:textId="77777777" w:rsidR="008A6F74" w:rsidRPr="007E1276" w:rsidRDefault="008A6F74" w:rsidP="008A6F74">
      <w:pPr>
        <w:pStyle w:val="ACBodyTextBullets"/>
      </w:pPr>
      <w:r w:rsidRPr="007E1276">
        <w:t>Wastewater treatment plants</w:t>
      </w:r>
    </w:p>
    <w:p w14:paraId="5BDA9A4B" w14:textId="77777777" w:rsidR="008A6F74" w:rsidRPr="007E1276" w:rsidRDefault="008A6F74" w:rsidP="008A6F74">
      <w:pPr>
        <w:pStyle w:val="ACBodyTextBullets"/>
      </w:pPr>
      <w:r w:rsidRPr="007E1276">
        <w:t>Combustion (use of coal fired boilers)</w:t>
      </w:r>
    </w:p>
    <w:p w14:paraId="6C5E1ED0" w14:textId="77777777" w:rsidR="008A6F74" w:rsidRPr="007E1276" w:rsidRDefault="008A6F74" w:rsidP="008A6F74">
      <w:pPr>
        <w:pStyle w:val="ACBodyTextBullets"/>
      </w:pPr>
      <w:r w:rsidRPr="007E1276">
        <w:t>Quarries</w:t>
      </w:r>
    </w:p>
    <w:p w14:paraId="71D0FD28" w14:textId="77777777" w:rsidR="008A6F74" w:rsidRPr="007E1276" w:rsidRDefault="008A6F74" w:rsidP="008A6F74">
      <w:pPr>
        <w:pStyle w:val="ACBodyTextBullets"/>
      </w:pPr>
      <w:r w:rsidRPr="007E1276">
        <w:t>Chemical processes</w:t>
      </w:r>
    </w:p>
    <w:p w14:paraId="798CE170" w14:textId="77777777" w:rsidR="008A6F74" w:rsidRPr="003E2905" w:rsidRDefault="008A6F74" w:rsidP="008A6F74">
      <w:pPr>
        <w:pStyle w:val="ACBodyTextBullets"/>
      </w:pPr>
      <w:r w:rsidRPr="003E2905">
        <w:t>Manufacturing</w:t>
      </w:r>
    </w:p>
    <w:p w14:paraId="2CB173E9" w14:textId="2A7701EC" w:rsidR="008A6F74" w:rsidRPr="007E1276" w:rsidRDefault="008A6F74" w:rsidP="008A6F74">
      <w:pPr>
        <w:pStyle w:val="ACBodyText"/>
      </w:pPr>
      <w:r w:rsidRPr="003E2905">
        <w:lastRenderedPageBreak/>
        <w:t>The majority of applications that require air quality input from</w:t>
      </w:r>
      <w:r>
        <w:t xml:space="preserve"> the Contamination, Air and Noise</w:t>
      </w:r>
      <w:r w:rsidRPr="003E2905">
        <w:t xml:space="preserve"> </w:t>
      </w:r>
      <w:r>
        <w:t xml:space="preserve">team </w:t>
      </w:r>
      <w:r w:rsidRPr="003E2905">
        <w:t>will be site specific consents that require site specific conditions related to the site specific air quality management tools and systems (such as scrubbers, filters, baghouses etc)</w:t>
      </w:r>
      <w:r>
        <w:t>.</w:t>
      </w:r>
      <w:r w:rsidRPr="003E2905">
        <w:t xml:space="preserve"> Please liaise with </w:t>
      </w:r>
      <w:r>
        <w:t xml:space="preserve">the </w:t>
      </w:r>
      <w:r w:rsidRPr="003E2905">
        <w:t>air quality specialist for detailed guidance on conditions to manage these systems</w:t>
      </w:r>
      <w:r w:rsidRPr="007E1276">
        <w:t xml:space="preserve">. </w:t>
      </w:r>
    </w:p>
    <w:p w14:paraId="1768FA11" w14:textId="77777777" w:rsidR="0005071B" w:rsidRDefault="0005071B" w:rsidP="008A6F74">
      <w:pPr>
        <w:pStyle w:val="ACBodyTextHeader"/>
      </w:pPr>
    </w:p>
    <w:p w14:paraId="2EB86C9D" w14:textId="1DF692C3" w:rsidR="008A6F74" w:rsidRPr="007E1276" w:rsidRDefault="008A6F74" w:rsidP="006670AF">
      <w:pPr>
        <w:pStyle w:val="Heading3"/>
      </w:pPr>
      <w:r w:rsidRPr="007E1276">
        <w:t>Process conditions</w:t>
      </w:r>
    </w:p>
    <w:p w14:paraId="6A2FE741" w14:textId="34456E15" w:rsidR="0005071B" w:rsidRDefault="008A6F74" w:rsidP="00FA197C">
      <w:pPr>
        <w:pStyle w:val="ACBodyTextBullets"/>
      </w:pPr>
      <w:r w:rsidRPr="007E1276">
        <w:t>Process conditions are specific to the application – sets discharge limits etc – as per the application.</w:t>
      </w:r>
    </w:p>
    <w:p w14:paraId="67A1773C" w14:textId="77777777" w:rsidR="0005071B" w:rsidRPr="007E1276" w:rsidRDefault="0005071B" w:rsidP="0005071B">
      <w:pPr>
        <w:pStyle w:val="ACBodyTextBullets"/>
        <w:numPr>
          <w:ilvl w:val="0"/>
          <w:numId w:val="0"/>
        </w:numPr>
        <w:ind w:left="907"/>
      </w:pPr>
    </w:p>
    <w:p w14:paraId="47E63248" w14:textId="77777777" w:rsidR="008A6F74" w:rsidRDefault="008A6F74" w:rsidP="006670AF">
      <w:pPr>
        <w:pStyle w:val="Heading3"/>
      </w:pPr>
      <w:r w:rsidRPr="007E1276">
        <w:t>Monitoring conditions</w:t>
      </w:r>
    </w:p>
    <w:p w14:paraId="6523C18E" w14:textId="77777777" w:rsidR="008A6F74" w:rsidRPr="007E1276" w:rsidRDefault="008A6F74" w:rsidP="008A6F74">
      <w:pPr>
        <w:pStyle w:val="ACBodyTextBullets"/>
      </w:pPr>
      <w:r w:rsidRPr="007E1276">
        <w:t>Monitoring conditions are specific to the application and may include such things as an Air Quality Management Plan and keeping a log of sampling etc.</w:t>
      </w:r>
    </w:p>
    <w:p w14:paraId="75856DA0" w14:textId="50D9E0BD" w:rsidR="008A6F74" w:rsidRDefault="008A6F74" w:rsidP="0005071B">
      <w:pPr>
        <w:pStyle w:val="ACBodyTextBullets"/>
      </w:pPr>
      <w:r>
        <w:t xml:space="preserve">The Contamination, Air and Noise Team will monitor </w:t>
      </w:r>
      <w:proofErr w:type="spellStart"/>
      <w:r>
        <w:t>stand alone</w:t>
      </w:r>
      <w:proofErr w:type="spellEnd"/>
      <w:r>
        <w:t xml:space="preserve"> Air Quality consents. All integrated consents will be monitored by the </w:t>
      </w:r>
      <w:r w:rsidR="00BC5B60">
        <w:t>Council</w:t>
      </w:r>
      <w:r>
        <w:t xml:space="preserve">. An internal agreement between the Monitoring and Specialist Unit will ensure that all information necessary to the consent is appropriately assessed while the customer maintains a single point of contact with the council. Where a standalone consent is granted the single point of contact for the conditions can be changed to Team Leader – Contamination, Air and Noise. </w:t>
      </w:r>
    </w:p>
    <w:p w14:paraId="1ACB8B9D" w14:textId="77777777" w:rsidR="008A6F74" w:rsidRPr="00A96D70" w:rsidRDefault="008A6F74" w:rsidP="008A6F74">
      <w:pPr>
        <w:pStyle w:val="ACBodyTextAdviceNote"/>
        <w:rPr>
          <w:rFonts w:cs="Arial"/>
        </w:rPr>
      </w:pPr>
      <w:r w:rsidRPr="007E1276">
        <w:rPr>
          <w:rFonts w:cs="Arial"/>
        </w:rPr>
        <w:t xml:space="preserve"> </w:t>
      </w:r>
      <w:r>
        <w:br w:type="page"/>
      </w:r>
    </w:p>
    <w:p w14:paraId="63C4A159" w14:textId="1479B08A" w:rsidR="002F5E44" w:rsidRDefault="008A6F74" w:rsidP="00820245">
      <w:pPr>
        <w:pStyle w:val="Heading2"/>
      </w:pPr>
      <w:bookmarkStart w:id="3" w:name="_Toc491179237"/>
      <w:r w:rsidRPr="0005071B">
        <w:lastRenderedPageBreak/>
        <w:t>Limiting Conditions</w:t>
      </w:r>
      <w:bookmarkStart w:id="4" w:name="_Toc491179238"/>
      <w:bookmarkEnd w:id="3"/>
    </w:p>
    <w:p w14:paraId="1B765788" w14:textId="77777777" w:rsidR="00820245" w:rsidRPr="00820245" w:rsidRDefault="00820245" w:rsidP="00820245"/>
    <w:p w14:paraId="57B82065" w14:textId="1410CE3C" w:rsidR="008A6F74" w:rsidRPr="0005071B" w:rsidRDefault="008A6F74" w:rsidP="0005071B">
      <w:pPr>
        <w:pStyle w:val="Heading3"/>
      </w:pPr>
      <w:r w:rsidRPr="0005071B">
        <w:t>Condition 1: Controlling emissions</w:t>
      </w:r>
      <w:bookmarkEnd w:id="4"/>
    </w:p>
    <w:p w14:paraId="71C8775A" w14:textId="77777777" w:rsidR="008A6F74" w:rsidRPr="00113293" w:rsidRDefault="008A6F74" w:rsidP="008A6F74">
      <w:pPr>
        <w:pStyle w:val="ACConditionBodyText"/>
      </w:pPr>
      <w:r w:rsidRPr="00113293">
        <w:t xml:space="preserve">All processes on site </w:t>
      </w:r>
      <w:r>
        <w:t>must</w:t>
      </w:r>
      <w:r w:rsidRPr="00113293">
        <w:t xml:space="preserve"> be operated, maintained, supervised, monitored and controlled using the best practicable option to ensure that all emissions authorised by this consent are maintained at the minimum practicable level.</w:t>
      </w:r>
    </w:p>
    <w:p w14:paraId="3297BB45" w14:textId="77777777" w:rsidR="008A6F74" w:rsidRPr="00700AD5" w:rsidRDefault="008A6F74" w:rsidP="008A6F74">
      <w:pPr>
        <w:pStyle w:val="ACSCMStaffHeader"/>
        <w:rPr>
          <w:lang w:eastAsia="en-NZ"/>
        </w:rPr>
      </w:pPr>
      <w:r>
        <w:rPr>
          <w:lang w:eastAsia="en-NZ"/>
        </w:rPr>
        <w:t>Guidance Note:</w:t>
      </w:r>
      <w:r w:rsidRPr="00700AD5">
        <w:rPr>
          <w:lang w:eastAsia="en-NZ"/>
        </w:rPr>
        <w:t xml:space="preserve"> </w:t>
      </w:r>
    </w:p>
    <w:p w14:paraId="01F81E69" w14:textId="77777777" w:rsidR="008A6F74" w:rsidRPr="0005071B" w:rsidRDefault="008A6F74" w:rsidP="0005071B">
      <w:pPr>
        <w:pStyle w:val="ACSCMnote2staff"/>
      </w:pPr>
      <w:r w:rsidRPr="0005071B">
        <w:t xml:space="preserve">The purpose of this condition is to ensure that the minimum amount of emissions occurs even if the consent limit allows a higher limit of emissions. Section 17 of the RMA reminds us that every person has a duty to avoid, remedy or mitigate effects whether or not those effects are from a consented activity. This condition aims to make sure the lowest possible emission occur at the site. </w:t>
      </w:r>
    </w:p>
    <w:p w14:paraId="26B35B8B" w14:textId="77777777" w:rsidR="008A6F74" w:rsidRPr="0005071B" w:rsidRDefault="008A6F74" w:rsidP="0005071B">
      <w:pPr>
        <w:pStyle w:val="ACSCMconditiondivider"/>
      </w:pPr>
    </w:p>
    <w:p w14:paraId="49CB9C38" w14:textId="77777777" w:rsidR="008A6F74" w:rsidRDefault="008A6F74" w:rsidP="0005071B">
      <w:pPr>
        <w:pStyle w:val="Heading3"/>
      </w:pPr>
      <w:bookmarkStart w:id="5" w:name="_Toc491179239"/>
      <w:r>
        <w:t>Condition 2</w:t>
      </w:r>
      <w:r w:rsidRPr="00E45899">
        <w:t>:</w:t>
      </w:r>
      <w:r>
        <w:t xml:space="preserve"> </w:t>
      </w:r>
      <w:r w:rsidRPr="00CA363D">
        <w:t>Discharges beyond the boundary</w:t>
      </w:r>
      <w:bookmarkEnd w:id="5"/>
    </w:p>
    <w:p w14:paraId="2334EE15" w14:textId="515CACD0" w:rsidR="008A6F74" w:rsidRPr="00113293" w:rsidRDefault="008A6F74" w:rsidP="008A6F74">
      <w:pPr>
        <w:pStyle w:val="ACConditionBodyText"/>
      </w:pPr>
      <w:r w:rsidRPr="00113293">
        <w:t xml:space="preserve">Beyond the boundary of the site there </w:t>
      </w:r>
      <w:r>
        <w:t>must</w:t>
      </w:r>
      <w:r w:rsidRPr="00113293">
        <w:t xml:space="preserve"> be no odour, dust, particulate, smoke, ash or fume caused by discharges from the site which, in the opinion of </w:t>
      </w:r>
      <w:r w:rsidR="00BC5B60">
        <w:t>the Council</w:t>
      </w:r>
      <w:r w:rsidRPr="00113293">
        <w:t>, is noxious, dangerous, offensive or objectionable.</w:t>
      </w:r>
    </w:p>
    <w:p w14:paraId="409E5805" w14:textId="77777777" w:rsidR="008A6F74" w:rsidRPr="00700AD5" w:rsidRDefault="008A6F74" w:rsidP="008A6F74">
      <w:pPr>
        <w:pStyle w:val="ACSCMStaffHeader"/>
        <w:rPr>
          <w:lang w:eastAsia="en-NZ"/>
        </w:rPr>
      </w:pPr>
      <w:r>
        <w:rPr>
          <w:lang w:eastAsia="en-NZ"/>
        </w:rPr>
        <w:t>Guidance Note:</w:t>
      </w:r>
      <w:r w:rsidRPr="00700AD5">
        <w:rPr>
          <w:lang w:eastAsia="en-NZ"/>
        </w:rPr>
        <w:t xml:space="preserve"> </w:t>
      </w:r>
    </w:p>
    <w:p w14:paraId="15A3A118" w14:textId="77777777" w:rsidR="008A6F74" w:rsidRDefault="008A6F74" w:rsidP="0005071B">
      <w:pPr>
        <w:pStyle w:val="ACSCMnote2staff"/>
      </w:pPr>
      <w:bookmarkStart w:id="6" w:name="_Toc417042674"/>
      <w:bookmarkStart w:id="7" w:name="_Toc417044422"/>
      <w:bookmarkStart w:id="8" w:name="_Toc417047045"/>
      <w:bookmarkStart w:id="9" w:name="_Toc419466216"/>
      <w:bookmarkStart w:id="10" w:name="_Toc421794650"/>
      <w:r w:rsidRPr="00700AD5">
        <w:t>The purpose of this condition is to clearly link the activity to the general permitted activity rule and to ensure that there are no nuisance effects beyond the site boundary.</w:t>
      </w:r>
      <w:bookmarkEnd w:id="6"/>
      <w:bookmarkEnd w:id="7"/>
      <w:bookmarkEnd w:id="8"/>
      <w:bookmarkEnd w:id="9"/>
      <w:bookmarkEnd w:id="10"/>
      <w:r w:rsidRPr="00700AD5">
        <w:t xml:space="preserve"> </w:t>
      </w:r>
    </w:p>
    <w:p w14:paraId="4167D110" w14:textId="77777777" w:rsidR="008A6F74" w:rsidRPr="00700AD5" w:rsidRDefault="008A6F74" w:rsidP="0005071B">
      <w:pPr>
        <w:pStyle w:val="ACSCMconditiondivider"/>
      </w:pPr>
    </w:p>
    <w:p w14:paraId="46CC2742" w14:textId="77777777" w:rsidR="008A6F74" w:rsidRDefault="008A6F74" w:rsidP="0005071B">
      <w:pPr>
        <w:pStyle w:val="Heading3"/>
      </w:pPr>
      <w:bookmarkStart w:id="11" w:name="_Toc491179240"/>
      <w:r>
        <w:t xml:space="preserve">Condition 3: </w:t>
      </w:r>
      <w:r w:rsidRPr="00106501">
        <w:t>Visible emissions</w:t>
      </w:r>
      <w:bookmarkEnd w:id="11"/>
    </w:p>
    <w:p w14:paraId="210ADDA7" w14:textId="7E97EEA0" w:rsidR="008A6F74" w:rsidRPr="00113293" w:rsidRDefault="008A6F74" w:rsidP="008A6F74">
      <w:pPr>
        <w:pStyle w:val="ACConditionBodyText"/>
      </w:pPr>
      <w:r w:rsidRPr="00113293">
        <w:t xml:space="preserve">No discharges from any activity on site </w:t>
      </w:r>
      <w:r>
        <w:t>must</w:t>
      </w:r>
      <w:r w:rsidRPr="00113293">
        <w:t xml:space="preserve"> give rise to visible emissions, other than water vapour, to an extent which, in the opinion of </w:t>
      </w:r>
      <w:r w:rsidR="00BC5B60">
        <w:t>the Council</w:t>
      </w:r>
      <w:r w:rsidRPr="00113293">
        <w:t>, is noxious, dangerous, offensive or objectionable.</w:t>
      </w:r>
    </w:p>
    <w:p w14:paraId="38E61EDE" w14:textId="77777777" w:rsidR="008A6F74" w:rsidRPr="00700AD5" w:rsidRDefault="008A6F74" w:rsidP="008A6F74">
      <w:pPr>
        <w:pStyle w:val="ACSCMStaffHeader"/>
        <w:rPr>
          <w:lang w:eastAsia="en-NZ"/>
        </w:rPr>
      </w:pPr>
      <w:r>
        <w:rPr>
          <w:lang w:eastAsia="en-NZ"/>
        </w:rPr>
        <w:t>Guidance Note:</w:t>
      </w:r>
    </w:p>
    <w:p w14:paraId="0F2BB7FF" w14:textId="1B3E7467" w:rsidR="00CD52EF" w:rsidRPr="00766CC5" w:rsidRDefault="008A6F74" w:rsidP="00CD52EF">
      <w:pPr>
        <w:pStyle w:val="ACSCMnote2staff"/>
      </w:pPr>
      <w:r w:rsidRPr="00700AD5">
        <w:t xml:space="preserve">The purpose of this condition is to ensure discharges are appropriate to the activity. This condition also links the activity to the general permitted activity rule. </w:t>
      </w:r>
    </w:p>
    <w:p w14:paraId="3CEB1E6C" w14:textId="73B9ADA2" w:rsidR="008A6F74" w:rsidRDefault="008A6F74" w:rsidP="0005071B">
      <w:pPr>
        <w:pStyle w:val="Heading3"/>
      </w:pPr>
      <w:bookmarkStart w:id="12" w:name="_Toc491179241"/>
      <w:r w:rsidRPr="00277EFA">
        <w:lastRenderedPageBreak/>
        <w:t>Condition 4: Hazardous air pollutants</w:t>
      </w:r>
      <w:bookmarkEnd w:id="12"/>
    </w:p>
    <w:p w14:paraId="22FAE94E" w14:textId="77777777" w:rsidR="008A6F74" w:rsidRPr="00277EFA" w:rsidRDefault="008A6F74" w:rsidP="008A6F74">
      <w:pPr>
        <w:pStyle w:val="ACConditionBodyText"/>
      </w:pPr>
      <w:r w:rsidRPr="00277EFA">
        <w:t xml:space="preserve">Beyond the boundary of the site there </w:t>
      </w:r>
      <w:r>
        <w:t>must</w:t>
      </w:r>
      <w:r w:rsidRPr="00277EFA">
        <w:t xml:space="preserve"> be no hazardous air pollutant caused by discharges from the site, which is present at a concentration that is, or is likely to be, detrimental to human health or the environment.</w:t>
      </w:r>
    </w:p>
    <w:p w14:paraId="0ED52789" w14:textId="77777777" w:rsidR="008A6F74" w:rsidRPr="00277EFA" w:rsidRDefault="008A6F74" w:rsidP="008A6F74">
      <w:pPr>
        <w:pStyle w:val="ACSCMStaffHeader"/>
        <w:rPr>
          <w:lang w:eastAsia="en-NZ"/>
        </w:rPr>
      </w:pPr>
      <w:r>
        <w:rPr>
          <w:lang w:eastAsia="en-NZ"/>
        </w:rPr>
        <w:t>Guidance Note:</w:t>
      </w:r>
    </w:p>
    <w:p w14:paraId="028F9F5D" w14:textId="5A9E73BA" w:rsidR="008A6F74" w:rsidRPr="00277EFA" w:rsidRDefault="008A6F74" w:rsidP="0005071B">
      <w:pPr>
        <w:pStyle w:val="ACSCMnote2staff"/>
      </w:pPr>
      <w:r w:rsidRPr="00277EFA">
        <w:t xml:space="preserve">The purpose of this condition is to link the activity to the general permitted activity rule, ensuring that no hazardous air pollutants are discharged beyond the boundary of the site at a concentration that could harm human health or the environment. The </w:t>
      </w:r>
      <w:r>
        <w:t>Contamination, Air and Noise team</w:t>
      </w:r>
      <w:r w:rsidRPr="00277EFA">
        <w:t xml:space="preserve"> have specialised equipment that may be used to detect levels of hazardous pollutants in the air. This equipment is taken on site if a complaint is made by the public regarding hazardous discharges. </w:t>
      </w:r>
    </w:p>
    <w:p w14:paraId="393A4DBF" w14:textId="77777777" w:rsidR="0005071B" w:rsidRDefault="0005071B">
      <w:pPr>
        <w:spacing w:line="259" w:lineRule="auto"/>
        <w:rPr>
          <w:rFonts w:eastAsiaTheme="majorEastAsia" w:cstheme="majorBidi"/>
          <w:b/>
          <w:bCs/>
          <w:color w:val="203D58"/>
          <w:sz w:val="32"/>
          <w:szCs w:val="28"/>
        </w:rPr>
      </w:pPr>
      <w:bookmarkStart w:id="13" w:name="_Toc491179242"/>
      <w:r>
        <w:br w:type="page"/>
      </w:r>
    </w:p>
    <w:p w14:paraId="7D6E71B1" w14:textId="2216F4F5" w:rsidR="002F5E44" w:rsidRPr="002F5E44" w:rsidRDefault="008A6F74" w:rsidP="00820245">
      <w:pPr>
        <w:pStyle w:val="Heading2"/>
      </w:pPr>
      <w:r w:rsidRPr="00277EFA">
        <w:lastRenderedPageBreak/>
        <w:t>Reporting Conditions</w:t>
      </w:r>
      <w:bookmarkEnd w:id="13"/>
      <w:r w:rsidR="00820245">
        <w:br/>
      </w:r>
    </w:p>
    <w:p w14:paraId="12651DCE" w14:textId="77777777" w:rsidR="008A6F74" w:rsidRDefault="008A6F74" w:rsidP="0005071B">
      <w:pPr>
        <w:pStyle w:val="Heading3"/>
      </w:pPr>
      <w:bookmarkStart w:id="14" w:name="_Toc491179243"/>
      <w:r w:rsidRPr="00277EFA">
        <w:t>Condition 5: Inspection, records and monitoring reports</w:t>
      </w:r>
      <w:bookmarkEnd w:id="14"/>
    </w:p>
    <w:p w14:paraId="4C351C36" w14:textId="77777777" w:rsidR="008A6F74" w:rsidRPr="00277EFA" w:rsidRDefault="008A6F74" w:rsidP="008A6F74">
      <w:pPr>
        <w:pStyle w:val="ACConditionBodyText"/>
      </w:pPr>
      <w:r w:rsidRPr="00277EFA">
        <w:t xml:space="preserve">Details of all inspections, records, monitoring and test results that are required by the conditions of this consent </w:t>
      </w:r>
      <w:r>
        <w:t>must</w:t>
      </w:r>
      <w:r w:rsidRPr="00277EFA">
        <w:t xml:space="preserve"> be kept for a minimum of </w:t>
      </w:r>
      <w:r w:rsidRPr="008361EA">
        <w:t>two years</w:t>
      </w:r>
      <w:r w:rsidRPr="00277EFA">
        <w:t xml:space="preserve"> from the date of each entry. </w:t>
      </w:r>
    </w:p>
    <w:p w14:paraId="2C881C2F" w14:textId="207B28CB" w:rsidR="008A6F74" w:rsidRPr="00277EFA" w:rsidRDefault="008A6F74" w:rsidP="008A6F74">
      <w:pPr>
        <w:pStyle w:val="ACConditionBodyText"/>
      </w:pPr>
      <w:r w:rsidRPr="00277EFA">
        <w:t xml:space="preserve">The above details </w:t>
      </w:r>
      <w:r>
        <w:t>must</w:t>
      </w:r>
      <w:r w:rsidRPr="00277EFA">
        <w:t xml:space="preserve"> be provided to the </w:t>
      </w:r>
      <w:r w:rsidR="00BC5B60">
        <w:t xml:space="preserve">Council </w:t>
      </w:r>
      <w:r w:rsidRPr="008361EA">
        <w:t>on request</w:t>
      </w:r>
      <w:r w:rsidRPr="00277EFA">
        <w:t xml:space="preserve">. </w:t>
      </w:r>
    </w:p>
    <w:p w14:paraId="7CAE055F" w14:textId="77777777" w:rsidR="008A6F74" w:rsidRPr="00D42A71" w:rsidRDefault="008A6F74" w:rsidP="00D42A71">
      <w:pPr>
        <w:pStyle w:val="ACSCMStaffHeader"/>
      </w:pPr>
      <w:r w:rsidRPr="00D42A71">
        <w:t xml:space="preserve">Guidance Note: </w:t>
      </w:r>
    </w:p>
    <w:p w14:paraId="3B110699" w14:textId="77777777" w:rsidR="008A6F74" w:rsidRPr="00150CD2" w:rsidRDefault="008A6F74" w:rsidP="00D42A71">
      <w:pPr>
        <w:pStyle w:val="ACSCMnote2staff"/>
      </w:pPr>
      <w:r w:rsidRPr="00150CD2">
        <w:t>The purpose of this condition is to that all site maintenance and inspections are carried out in between the council inspections. This condition ensures that inspection and maintenance records are kept and that the Contamination, Air and Noise team is able to request information from any period within the last two years.</w:t>
      </w:r>
    </w:p>
    <w:p w14:paraId="1736E371" w14:textId="77777777" w:rsidR="008A6F74" w:rsidRPr="00277EFA" w:rsidRDefault="008A6F74" w:rsidP="0005071B">
      <w:pPr>
        <w:pStyle w:val="ACSCMconditiondivider"/>
      </w:pPr>
    </w:p>
    <w:p w14:paraId="2FC020F2" w14:textId="77777777" w:rsidR="008A6F74" w:rsidRDefault="008A6F74" w:rsidP="0005071B">
      <w:pPr>
        <w:pStyle w:val="Heading3"/>
      </w:pPr>
      <w:bookmarkStart w:id="15" w:name="_Toc491179244"/>
      <w:r w:rsidRPr="00277EFA">
        <w:t>Condition 6: Significant breaches or unexpected emissions</w:t>
      </w:r>
      <w:bookmarkEnd w:id="15"/>
    </w:p>
    <w:p w14:paraId="78BCB4E9" w14:textId="3B7CD101" w:rsidR="008A6F74" w:rsidRPr="00277EFA" w:rsidRDefault="008A6F74" w:rsidP="008A6F74">
      <w:pPr>
        <w:pStyle w:val="ACConditionBodyText"/>
      </w:pPr>
      <w:r w:rsidRPr="00277EFA">
        <w:t xml:space="preserve">The </w:t>
      </w:r>
      <w:r w:rsidR="00BC5B60">
        <w:t>Council</w:t>
      </w:r>
      <w:r>
        <w:t xml:space="preserve"> must</w:t>
      </w:r>
      <w:r w:rsidRPr="00277EFA">
        <w:t xml:space="preserve"> be notified as soon as practicable in the event of any significant discharge to air, which results or has the potential to result in a breach of air quality conditions or adverse effects on the environment. The following information </w:t>
      </w:r>
      <w:r>
        <w:t>must</w:t>
      </w:r>
      <w:r w:rsidRPr="00277EFA">
        <w:t xml:space="preserve"> be supplied:</w:t>
      </w:r>
    </w:p>
    <w:p w14:paraId="7A75360B" w14:textId="77777777" w:rsidR="008A6F74" w:rsidRPr="00570BC5" w:rsidRDefault="008A6F74" w:rsidP="00CD52EF">
      <w:pPr>
        <w:numPr>
          <w:ilvl w:val="1"/>
          <w:numId w:val="47"/>
        </w:numPr>
        <w:tabs>
          <w:tab w:val="clear" w:pos="1474"/>
          <w:tab w:val="num" w:pos="1400"/>
        </w:tabs>
        <w:ind w:left="1400" w:right="567"/>
        <w:rPr>
          <w:bCs/>
          <w:sz w:val="22"/>
          <w:szCs w:val="28"/>
        </w:rPr>
      </w:pPr>
      <w:r w:rsidRPr="00570BC5">
        <w:rPr>
          <w:bCs/>
          <w:sz w:val="22"/>
          <w:szCs w:val="28"/>
        </w:rPr>
        <w:t>Details of the nature of the discharge;</w:t>
      </w:r>
    </w:p>
    <w:p w14:paraId="7DA7374F" w14:textId="77777777" w:rsidR="008A6F74" w:rsidRPr="00570BC5" w:rsidRDefault="008A6F74" w:rsidP="00CD52EF">
      <w:pPr>
        <w:numPr>
          <w:ilvl w:val="1"/>
          <w:numId w:val="45"/>
        </w:numPr>
        <w:tabs>
          <w:tab w:val="clear" w:pos="1474"/>
          <w:tab w:val="num" w:pos="1967"/>
        </w:tabs>
        <w:ind w:left="1400" w:right="567"/>
        <w:rPr>
          <w:bCs/>
          <w:sz w:val="22"/>
          <w:szCs w:val="28"/>
        </w:rPr>
      </w:pPr>
      <w:r w:rsidRPr="00570BC5">
        <w:rPr>
          <w:bCs/>
          <w:sz w:val="22"/>
          <w:szCs w:val="28"/>
        </w:rPr>
        <w:t>An explanation of the cause of the incident; and</w:t>
      </w:r>
    </w:p>
    <w:p w14:paraId="1301C085" w14:textId="77777777" w:rsidR="008A6F74" w:rsidRPr="00570BC5" w:rsidRDefault="008A6F74" w:rsidP="00CD52EF">
      <w:pPr>
        <w:numPr>
          <w:ilvl w:val="1"/>
          <w:numId w:val="45"/>
        </w:numPr>
        <w:tabs>
          <w:tab w:val="clear" w:pos="1474"/>
          <w:tab w:val="num" w:pos="1967"/>
        </w:tabs>
        <w:ind w:left="1400" w:right="567"/>
        <w:rPr>
          <w:bCs/>
          <w:sz w:val="22"/>
          <w:szCs w:val="28"/>
        </w:rPr>
      </w:pPr>
      <w:r w:rsidRPr="00570BC5">
        <w:rPr>
          <w:bCs/>
          <w:sz w:val="22"/>
          <w:szCs w:val="28"/>
        </w:rPr>
        <w:t xml:space="preserve">Details of remediation action taken. </w:t>
      </w:r>
    </w:p>
    <w:p w14:paraId="45437AAB" w14:textId="77777777" w:rsidR="008A6F74" w:rsidRPr="00150CD2" w:rsidRDefault="008A6F74" w:rsidP="008A6F74">
      <w:pPr>
        <w:pStyle w:val="ACSCMStaffHeader"/>
        <w:rPr>
          <w:lang w:eastAsia="en-NZ"/>
        </w:rPr>
      </w:pPr>
      <w:r w:rsidRPr="00150CD2">
        <w:rPr>
          <w:lang w:eastAsia="en-NZ"/>
        </w:rPr>
        <w:t xml:space="preserve">Guidance Note: </w:t>
      </w:r>
    </w:p>
    <w:p w14:paraId="67B587F5" w14:textId="6072FC22" w:rsidR="008A6F74" w:rsidRPr="00150CD2" w:rsidRDefault="008A6F74" w:rsidP="00CD52EF">
      <w:pPr>
        <w:pStyle w:val="ACSCMnote2staff"/>
      </w:pPr>
      <w:r w:rsidRPr="00150CD2">
        <w:t>The purpose of this condition is to require the consent holder to inform the council of any unexpected actual or potential breaches of consent conditions, and to provide information as to why this may have occurred and what has been done to remedy the situation.</w:t>
      </w:r>
    </w:p>
    <w:p w14:paraId="363F841C" w14:textId="77777777" w:rsidR="00CD52EF" w:rsidRPr="00277EFA" w:rsidRDefault="00CD52EF" w:rsidP="00CD52EF">
      <w:pPr>
        <w:pStyle w:val="ACSCMconditiondivider"/>
      </w:pPr>
    </w:p>
    <w:p w14:paraId="255CC4BD" w14:textId="77777777" w:rsidR="00CD52EF" w:rsidRDefault="00CD52EF">
      <w:pPr>
        <w:spacing w:line="259" w:lineRule="auto"/>
        <w:rPr>
          <w:rFonts w:eastAsiaTheme="majorEastAsia" w:cstheme="majorBidi"/>
          <w:b/>
          <w:color w:val="76A240"/>
          <w:szCs w:val="26"/>
        </w:rPr>
      </w:pPr>
      <w:bookmarkStart w:id="16" w:name="_Toc491179245"/>
      <w:r>
        <w:br w:type="page"/>
      </w:r>
    </w:p>
    <w:p w14:paraId="3A2DBFE2" w14:textId="74C42F70" w:rsidR="008A6F74" w:rsidRDefault="008A6F74" w:rsidP="0005071B">
      <w:pPr>
        <w:pStyle w:val="Heading3"/>
      </w:pPr>
      <w:r w:rsidRPr="00277EFA">
        <w:lastRenderedPageBreak/>
        <w:t>Condition 7: Complaints</w:t>
      </w:r>
      <w:bookmarkEnd w:id="16"/>
    </w:p>
    <w:p w14:paraId="082720F0" w14:textId="77777777" w:rsidR="008A6F74" w:rsidRPr="00277EFA" w:rsidRDefault="008A6F74" w:rsidP="008A6F74">
      <w:pPr>
        <w:pStyle w:val="ACConditionBodyText"/>
      </w:pPr>
      <w:r w:rsidRPr="00277EFA">
        <w:t xml:space="preserve">All air quality complaints that are received </w:t>
      </w:r>
      <w:r>
        <w:t>must</w:t>
      </w:r>
      <w:r w:rsidRPr="00277EFA">
        <w:t xml:space="preserve"> be recorded. The complaint details </w:t>
      </w:r>
      <w:r>
        <w:t>must</w:t>
      </w:r>
      <w:r w:rsidRPr="00277EFA">
        <w:t xml:space="preserve"> include:</w:t>
      </w:r>
    </w:p>
    <w:p w14:paraId="602756E0" w14:textId="77777777" w:rsidR="008A6F74" w:rsidRPr="00932EA0" w:rsidRDefault="008A6F74" w:rsidP="008A6F74">
      <w:pPr>
        <w:pStyle w:val="ACBodyTextNumbers"/>
        <w:numPr>
          <w:ilvl w:val="0"/>
          <w:numId w:val="46"/>
        </w:numPr>
      </w:pPr>
      <w:r w:rsidRPr="00932EA0">
        <w:t>The date, time, location and nature of the complaint;</w:t>
      </w:r>
    </w:p>
    <w:p w14:paraId="603CB859" w14:textId="77777777" w:rsidR="008A6F74" w:rsidRPr="00932EA0" w:rsidRDefault="008A6F74" w:rsidP="008A6F74">
      <w:pPr>
        <w:pStyle w:val="ACBodyTextNumbers"/>
        <w:numPr>
          <w:ilvl w:val="0"/>
          <w:numId w:val="46"/>
        </w:numPr>
      </w:pPr>
      <w:r w:rsidRPr="00932EA0">
        <w:t>The name, phone number and address of the complainant, unless the complainant elects not to supply these details;</w:t>
      </w:r>
    </w:p>
    <w:p w14:paraId="14791A88" w14:textId="77777777" w:rsidR="008A6F74" w:rsidRPr="00932EA0" w:rsidRDefault="008A6F74" w:rsidP="008A6F74">
      <w:pPr>
        <w:pStyle w:val="ACBodyTextNumbers"/>
        <w:numPr>
          <w:ilvl w:val="0"/>
          <w:numId w:val="46"/>
        </w:numPr>
      </w:pPr>
      <w:r w:rsidRPr="00932EA0">
        <w:t>Weather conditions, including approximate wind speed and direction, at time of the complaint;</w:t>
      </w:r>
    </w:p>
    <w:p w14:paraId="04FB91FA" w14:textId="77777777" w:rsidR="008A6F74" w:rsidRPr="00932EA0" w:rsidRDefault="008A6F74" w:rsidP="008A6F74">
      <w:pPr>
        <w:pStyle w:val="ACBodyTextNumbers"/>
        <w:numPr>
          <w:ilvl w:val="0"/>
          <w:numId w:val="46"/>
        </w:numPr>
      </w:pPr>
      <w:r w:rsidRPr="00932EA0">
        <w:t>Any remedial actions undertaken.</w:t>
      </w:r>
    </w:p>
    <w:p w14:paraId="421BCAA2" w14:textId="4F9EE431" w:rsidR="008A6F74" w:rsidRPr="00277EFA" w:rsidRDefault="0005071B" w:rsidP="008A6F74">
      <w:pPr>
        <w:pStyle w:val="ACConditionBodyText"/>
      </w:pPr>
      <w:r>
        <w:br/>
      </w:r>
      <w:r w:rsidR="008A6F74" w:rsidRPr="00277EFA">
        <w:t xml:space="preserve">Details of any complaints received </w:t>
      </w:r>
      <w:r w:rsidR="008A6F74">
        <w:t>must</w:t>
      </w:r>
      <w:r w:rsidR="008A6F74" w:rsidRPr="00277EFA">
        <w:t xml:space="preserve"> be provided to the </w:t>
      </w:r>
      <w:r w:rsidR="00BC5B60">
        <w:t xml:space="preserve">Council </w:t>
      </w:r>
      <w:r w:rsidR="008A6F74" w:rsidRPr="00277EFA">
        <w:t xml:space="preserve">within 24 hours of receipt of the complaint. </w:t>
      </w:r>
    </w:p>
    <w:p w14:paraId="3F398623" w14:textId="77777777" w:rsidR="008A6F74" w:rsidRPr="00150CD2" w:rsidRDefault="008A6F74" w:rsidP="008A6F74">
      <w:pPr>
        <w:pStyle w:val="ACSCMStaffHeader"/>
        <w:rPr>
          <w:lang w:eastAsia="en-NZ"/>
        </w:rPr>
      </w:pPr>
      <w:r w:rsidRPr="00150CD2">
        <w:rPr>
          <w:lang w:eastAsia="en-NZ"/>
        </w:rPr>
        <w:t xml:space="preserve">Guidance Note: </w:t>
      </w:r>
    </w:p>
    <w:p w14:paraId="372EDDD1" w14:textId="0BCA953E" w:rsidR="008A6F74" w:rsidRPr="00150CD2" w:rsidRDefault="008A6F74" w:rsidP="0005071B">
      <w:pPr>
        <w:pStyle w:val="ACSCMnote2staff"/>
      </w:pPr>
      <w:r w:rsidRPr="00150CD2">
        <w:t>The purpose of this condition is to require consent holders to inform the council of any complaints and any action taken to remedy. Complaints may not come directly to the council, so this condition allows to gain a full understanding of site activities.</w:t>
      </w:r>
    </w:p>
    <w:p w14:paraId="346EE1EC" w14:textId="77777777" w:rsidR="0005071B" w:rsidRDefault="0005071B">
      <w:pPr>
        <w:spacing w:line="259" w:lineRule="auto"/>
        <w:rPr>
          <w:rFonts w:eastAsiaTheme="majorEastAsia" w:cstheme="majorBidi"/>
          <w:b/>
          <w:bCs/>
          <w:color w:val="203D58"/>
          <w:sz w:val="32"/>
          <w:szCs w:val="28"/>
        </w:rPr>
      </w:pPr>
      <w:bookmarkStart w:id="17" w:name="_Toc491179246"/>
      <w:r>
        <w:br w:type="page"/>
      </w:r>
    </w:p>
    <w:p w14:paraId="1C007A63" w14:textId="4EAD8498" w:rsidR="008A6F74" w:rsidRPr="000574F9" w:rsidRDefault="008A6F74" w:rsidP="00CD52EF">
      <w:pPr>
        <w:pStyle w:val="Heading2"/>
      </w:pPr>
      <w:r w:rsidRPr="000574F9">
        <w:lastRenderedPageBreak/>
        <w:t>Site Specific Controls</w:t>
      </w:r>
      <w:bookmarkEnd w:id="17"/>
      <w:r w:rsidR="002F5E44">
        <w:br/>
      </w:r>
      <w:r w:rsidRPr="000574F9">
        <w:t xml:space="preserve"> </w:t>
      </w:r>
    </w:p>
    <w:p w14:paraId="5963EB2D" w14:textId="77777777" w:rsidR="008A6F74" w:rsidRPr="000574F9" w:rsidRDefault="008A6F74" w:rsidP="0005071B">
      <w:pPr>
        <w:pStyle w:val="Heading3"/>
      </w:pPr>
      <w:bookmarkStart w:id="18" w:name="_Toc491179247"/>
      <w:r w:rsidRPr="000574F9">
        <w:t>Condition 8 Emission control equipment operation</w:t>
      </w:r>
      <w:bookmarkEnd w:id="18"/>
    </w:p>
    <w:p w14:paraId="6941F490" w14:textId="77777777" w:rsidR="008A6F74" w:rsidRPr="00113293" w:rsidRDefault="008A6F74" w:rsidP="008A6F74">
      <w:pPr>
        <w:pStyle w:val="ACConditionBodyText"/>
      </w:pPr>
      <w:bookmarkStart w:id="19" w:name="_Toc417042684"/>
      <w:bookmarkStart w:id="20" w:name="_Toc417044432"/>
      <w:bookmarkStart w:id="21" w:name="_Toc417047054"/>
      <w:bookmarkStart w:id="22" w:name="_Toc421794659"/>
      <w:r w:rsidRPr="00113293">
        <w:t xml:space="preserve">No part of the process </w:t>
      </w:r>
      <w:r>
        <w:t>must</w:t>
      </w:r>
      <w:r w:rsidRPr="00113293">
        <w:t xml:space="preserve"> be operated without the associated emission control equipment, consented as part of this decision, being fully operational and functioning correctly.</w:t>
      </w:r>
      <w:bookmarkEnd w:id="19"/>
      <w:bookmarkEnd w:id="20"/>
      <w:bookmarkEnd w:id="21"/>
      <w:bookmarkEnd w:id="22"/>
    </w:p>
    <w:p w14:paraId="225022A3" w14:textId="77777777" w:rsidR="008A6F74" w:rsidRPr="00766CC5" w:rsidRDefault="008A6F74" w:rsidP="0005071B">
      <w:pPr>
        <w:pStyle w:val="ACSCMconditiondivider"/>
        <w:rPr>
          <w:rFonts w:eastAsia="Times New Roman"/>
        </w:rPr>
      </w:pPr>
    </w:p>
    <w:p w14:paraId="774D9763" w14:textId="77777777" w:rsidR="008A6F74" w:rsidRDefault="008A6F74" w:rsidP="0005071B">
      <w:pPr>
        <w:pStyle w:val="Heading3"/>
      </w:pPr>
      <w:bookmarkStart w:id="23" w:name="_Toc491179248"/>
      <w:r w:rsidRPr="00113293">
        <w:t>Condition 9: Emission control equipment maintenance</w:t>
      </w:r>
      <w:bookmarkEnd w:id="23"/>
    </w:p>
    <w:p w14:paraId="76B59870" w14:textId="77777777" w:rsidR="008A6F74" w:rsidRPr="00113293" w:rsidRDefault="008A6F74" w:rsidP="008A6F74">
      <w:pPr>
        <w:pStyle w:val="ACConditionBodyText"/>
      </w:pPr>
      <w:bookmarkStart w:id="24" w:name="_Toc417042686"/>
      <w:bookmarkStart w:id="25" w:name="_Toc417044434"/>
      <w:bookmarkStart w:id="26" w:name="_Toc417047056"/>
      <w:bookmarkStart w:id="27" w:name="_Toc419466227"/>
      <w:bookmarkStart w:id="28" w:name="_Toc421794661"/>
      <w:r w:rsidRPr="00113293">
        <w:t xml:space="preserve">All ducting and emission control equipment associated with the process </w:t>
      </w:r>
      <w:r>
        <w:t>must</w:t>
      </w:r>
      <w:r w:rsidRPr="00113293">
        <w:t xml:space="preserve"> be maintained in good condition and as far as practicable be free from leaks in order to prevent the escape of fugitive emissions.</w:t>
      </w:r>
      <w:bookmarkEnd w:id="24"/>
      <w:bookmarkEnd w:id="25"/>
      <w:bookmarkEnd w:id="26"/>
      <w:bookmarkEnd w:id="27"/>
      <w:bookmarkEnd w:id="28"/>
    </w:p>
    <w:p w14:paraId="2FA5FB0C" w14:textId="77777777" w:rsidR="008A6F74" w:rsidRPr="00150CD2" w:rsidRDefault="008A6F74" w:rsidP="008A6F74">
      <w:pPr>
        <w:pStyle w:val="ACSCMStaffHeader"/>
        <w:rPr>
          <w:lang w:eastAsia="en-NZ"/>
        </w:rPr>
      </w:pPr>
      <w:bookmarkStart w:id="29" w:name="_Toc417042687"/>
      <w:bookmarkStart w:id="30" w:name="_Toc417044435"/>
      <w:bookmarkStart w:id="31" w:name="_Toc417047057"/>
      <w:bookmarkStart w:id="32" w:name="_Toc419466228"/>
      <w:bookmarkStart w:id="33" w:name="_Toc421794662"/>
      <w:r w:rsidRPr="00150CD2">
        <w:rPr>
          <w:lang w:eastAsia="en-NZ"/>
        </w:rPr>
        <w:t>Guidance Note:</w:t>
      </w:r>
      <w:bookmarkEnd w:id="29"/>
      <w:bookmarkEnd w:id="30"/>
      <w:bookmarkEnd w:id="31"/>
      <w:bookmarkEnd w:id="32"/>
      <w:bookmarkEnd w:id="33"/>
    </w:p>
    <w:p w14:paraId="0D9CC6AA" w14:textId="77777777" w:rsidR="008A6F74" w:rsidRPr="00150CD2" w:rsidRDefault="008A6F74" w:rsidP="0005071B">
      <w:pPr>
        <w:pStyle w:val="ACSCMnote2staff"/>
      </w:pPr>
      <w:bookmarkStart w:id="34" w:name="_Toc417042688"/>
      <w:bookmarkStart w:id="35" w:name="_Toc417044436"/>
      <w:bookmarkStart w:id="36" w:name="_Toc417047058"/>
      <w:bookmarkStart w:id="37" w:name="_Toc419466229"/>
      <w:bookmarkStart w:id="38" w:name="_Toc421794663"/>
      <w:r w:rsidRPr="00150CD2">
        <w:t>The purpose of these conditions is to ensure that any emission control system employed such as baghouses, scrubbers, etc, are effective throughout the life of the consent. These conditions should be added to all decisions where emission control devices are required. This can include scrubbers, stacks etc. Please discuss with a Council Contamination, Air and Noise specialist if unsure.</w:t>
      </w:r>
      <w:bookmarkEnd w:id="34"/>
      <w:bookmarkEnd w:id="35"/>
      <w:bookmarkEnd w:id="36"/>
      <w:bookmarkEnd w:id="37"/>
      <w:bookmarkEnd w:id="38"/>
      <w:r w:rsidRPr="00150CD2">
        <w:t xml:space="preserve"> </w:t>
      </w:r>
    </w:p>
    <w:p w14:paraId="527E304A" w14:textId="77777777" w:rsidR="008A6F74" w:rsidRDefault="008A6F74" w:rsidP="0005071B">
      <w:pPr>
        <w:pStyle w:val="ACSCMconditiondivider"/>
        <w:rPr>
          <w:rFonts w:eastAsia="Times New Roman"/>
        </w:rPr>
      </w:pPr>
    </w:p>
    <w:p w14:paraId="4E0F5A21" w14:textId="77777777" w:rsidR="008A6F74" w:rsidRDefault="008A6F74" w:rsidP="0005071B">
      <w:pPr>
        <w:pStyle w:val="Heading3"/>
      </w:pPr>
      <w:bookmarkStart w:id="39" w:name="_Toc491179249"/>
      <w:r w:rsidRPr="00927DA8">
        <w:t>Condition 1</w:t>
      </w:r>
      <w:r>
        <w:t>0</w:t>
      </w:r>
      <w:r w:rsidRPr="00927DA8">
        <w:t>: Discharge limits</w:t>
      </w:r>
      <w:bookmarkEnd w:id="39"/>
    </w:p>
    <w:p w14:paraId="3E017643" w14:textId="229BFE75" w:rsidR="008A6F74" w:rsidRDefault="008A6F74" w:rsidP="008A6F74">
      <w:pPr>
        <w:pStyle w:val="ACConditionBodyText"/>
      </w:pPr>
      <w:bookmarkStart w:id="40" w:name="_Toc417042690"/>
      <w:bookmarkStart w:id="41" w:name="_Toc417044438"/>
      <w:bookmarkStart w:id="42" w:name="_Toc417047060"/>
      <w:bookmarkStart w:id="43" w:name="_Toc419466231"/>
      <w:bookmarkStart w:id="44" w:name="_Toc421794665"/>
      <w:r w:rsidRPr="00113293">
        <w:t xml:space="preserve">The discharge of specified air pollutants from the x stacks </w:t>
      </w:r>
      <w:r>
        <w:t>must</w:t>
      </w:r>
      <w:r w:rsidRPr="00113293">
        <w:t xml:space="preserve"> not exceed the corresponding emission rates set out below:</w:t>
      </w:r>
      <w:bookmarkEnd w:id="40"/>
      <w:bookmarkEnd w:id="41"/>
      <w:bookmarkEnd w:id="42"/>
      <w:bookmarkEnd w:id="43"/>
      <w:bookmarkEnd w:id="44"/>
    </w:p>
    <w:p w14:paraId="557D96EC" w14:textId="77777777" w:rsidR="0005071B" w:rsidRDefault="0005071B" w:rsidP="008A6F74">
      <w:pPr>
        <w:pStyle w:val="ACConditionBodyText"/>
      </w:pPr>
    </w:p>
    <w:tbl>
      <w:tblPr>
        <w:tblW w:w="0" w:type="auto"/>
        <w:tblInd w:w="675" w:type="dxa"/>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ook w:val="04A0" w:firstRow="1" w:lastRow="0" w:firstColumn="1" w:lastColumn="0" w:noHBand="0" w:noVBand="1"/>
      </w:tblPr>
      <w:tblGrid>
        <w:gridCol w:w="4111"/>
        <w:gridCol w:w="3827"/>
      </w:tblGrid>
      <w:tr w:rsidR="008A6F74" w:rsidRPr="00927DA8" w14:paraId="0F22AC44" w14:textId="77777777" w:rsidTr="00CD52EF">
        <w:tc>
          <w:tcPr>
            <w:tcW w:w="4111" w:type="dxa"/>
            <w:shd w:val="clear" w:color="auto" w:fill="auto"/>
          </w:tcPr>
          <w:p w14:paraId="5922ACC0" w14:textId="77777777" w:rsidR="008A6F74" w:rsidRPr="00927DA8" w:rsidRDefault="008A6F74" w:rsidP="00A35F97">
            <w:pPr>
              <w:pStyle w:val="ACTableText"/>
              <w:rPr>
                <w:rFonts w:eastAsia="MS Mincho"/>
              </w:rPr>
            </w:pPr>
            <w:r w:rsidRPr="00927DA8">
              <w:rPr>
                <w:rFonts w:eastAsia="MS Mincho"/>
              </w:rPr>
              <w:t>Pollutant</w:t>
            </w:r>
          </w:p>
        </w:tc>
        <w:tc>
          <w:tcPr>
            <w:tcW w:w="3827" w:type="dxa"/>
            <w:shd w:val="clear" w:color="auto" w:fill="auto"/>
          </w:tcPr>
          <w:p w14:paraId="224A155F" w14:textId="77777777" w:rsidR="008A6F74" w:rsidRPr="00927DA8" w:rsidRDefault="008A6F74" w:rsidP="00A35F97">
            <w:pPr>
              <w:pStyle w:val="ACTableText"/>
              <w:rPr>
                <w:rFonts w:eastAsia="MS Mincho"/>
              </w:rPr>
            </w:pPr>
            <w:r w:rsidRPr="00927DA8">
              <w:rPr>
                <w:rFonts w:eastAsia="MS Mincho"/>
              </w:rPr>
              <w:t>Maximum emission concentration</w:t>
            </w:r>
          </w:p>
        </w:tc>
      </w:tr>
      <w:tr w:rsidR="008A6F74" w:rsidRPr="00927DA8" w14:paraId="3028C25A" w14:textId="77777777" w:rsidTr="00CD52EF">
        <w:tc>
          <w:tcPr>
            <w:tcW w:w="4111" w:type="dxa"/>
            <w:shd w:val="clear" w:color="auto" w:fill="auto"/>
            <w:vAlign w:val="center"/>
          </w:tcPr>
          <w:p w14:paraId="40375C82" w14:textId="77777777" w:rsidR="008A6F74" w:rsidRPr="00927DA8" w:rsidRDefault="008A6F74" w:rsidP="00A35F97">
            <w:pPr>
              <w:pStyle w:val="ACTableText"/>
              <w:rPr>
                <w:rFonts w:eastAsia="MS Mincho"/>
              </w:rPr>
            </w:pPr>
            <w:r w:rsidRPr="00927DA8">
              <w:rPr>
                <w:rFonts w:eastAsia="MS Mincho"/>
              </w:rPr>
              <w:t>Total suspended particulate (TSP)</w:t>
            </w:r>
          </w:p>
        </w:tc>
        <w:tc>
          <w:tcPr>
            <w:tcW w:w="3827" w:type="dxa"/>
            <w:shd w:val="clear" w:color="auto" w:fill="auto"/>
            <w:vAlign w:val="center"/>
          </w:tcPr>
          <w:p w14:paraId="26E4BCB9" w14:textId="77777777" w:rsidR="008A6F74" w:rsidRPr="00927DA8" w:rsidRDefault="008A6F74" w:rsidP="00A35F97">
            <w:pPr>
              <w:pStyle w:val="ACTableText"/>
              <w:rPr>
                <w:rFonts w:eastAsia="MS Mincho"/>
              </w:rPr>
            </w:pPr>
            <w:r w:rsidRPr="00104A9C">
              <w:rPr>
                <w:rFonts w:eastAsia="MS Mincho"/>
                <w:color w:val="0070C0"/>
              </w:rPr>
              <w:t>x</w:t>
            </w:r>
            <w:r w:rsidRPr="00927DA8">
              <w:rPr>
                <w:rFonts w:eastAsia="MS Mincho"/>
              </w:rPr>
              <w:t xml:space="preserve"> mg/m³</w:t>
            </w:r>
          </w:p>
        </w:tc>
      </w:tr>
      <w:tr w:rsidR="008A6F74" w:rsidRPr="00927DA8" w14:paraId="2CF2F92D" w14:textId="77777777" w:rsidTr="00CD52EF">
        <w:tc>
          <w:tcPr>
            <w:tcW w:w="4111" w:type="dxa"/>
            <w:shd w:val="clear" w:color="auto" w:fill="auto"/>
            <w:vAlign w:val="center"/>
          </w:tcPr>
          <w:p w14:paraId="26B4B291" w14:textId="77777777" w:rsidR="008A6F74" w:rsidRPr="00927DA8" w:rsidRDefault="008A6F74" w:rsidP="00A35F97">
            <w:pPr>
              <w:pStyle w:val="ACTableText"/>
              <w:rPr>
                <w:rFonts w:eastAsia="MS Mincho"/>
              </w:rPr>
            </w:pPr>
            <w:r w:rsidRPr="00927DA8">
              <w:rPr>
                <w:rFonts w:eastAsia="MS Mincho"/>
              </w:rPr>
              <w:t>Nitrogen oxides (</w:t>
            </w:r>
            <w:r w:rsidRPr="00927DA8">
              <w:t>NO</w:t>
            </w:r>
            <w:r w:rsidRPr="00927DA8">
              <w:rPr>
                <w:vertAlign w:val="subscript"/>
              </w:rPr>
              <w:t>x</w:t>
            </w:r>
            <w:r w:rsidRPr="00927DA8">
              <w:rPr>
                <w:rFonts w:eastAsia="MS Mincho"/>
              </w:rPr>
              <w:t>)</w:t>
            </w:r>
          </w:p>
        </w:tc>
        <w:tc>
          <w:tcPr>
            <w:tcW w:w="3827" w:type="dxa"/>
            <w:shd w:val="clear" w:color="auto" w:fill="auto"/>
            <w:vAlign w:val="center"/>
          </w:tcPr>
          <w:p w14:paraId="7D331D2B" w14:textId="77777777" w:rsidR="008A6F74" w:rsidRPr="00927DA8" w:rsidRDefault="008A6F74" w:rsidP="00A35F97">
            <w:pPr>
              <w:pStyle w:val="ACTableText"/>
              <w:rPr>
                <w:rFonts w:eastAsia="MS Mincho"/>
              </w:rPr>
            </w:pPr>
            <w:r w:rsidRPr="00104A9C">
              <w:rPr>
                <w:rFonts w:eastAsia="MS Mincho"/>
                <w:color w:val="0070C0"/>
              </w:rPr>
              <w:t>x</w:t>
            </w:r>
            <w:r w:rsidRPr="00927DA8">
              <w:rPr>
                <w:rFonts w:eastAsia="MS Mincho"/>
              </w:rPr>
              <w:t xml:space="preserve"> mg/m³</w:t>
            </w:r>
          </w:p>
        </w:tc>
      </w:tr>
      <w:tr w:rsidR="008A6F74" w:rsidRPr="00927DA8" w14:paraId="50817F27" w14:textId="77777777" w:rsidTr="00CD52EF">
        <w:tc>
          <w:tcPr>
            <w:tcW w:w="4111" w:type="dxa"/>
            <w:shd w:val="clear" w:color="auto" w:fill="auto"/>
            <w:vAlign w:val="center"/>
          </w:tcPr>
          <w:p w14:paraId="004E0540" w14:textId="77777777" w:rsidR="008A6F74" w:rsidRPr="00927DA8" w:rsidRDefault="008A6F74" w:rsidP="00A35F97">
            <w:pPr>
              <w:pStyle w:val="ACTableText"/>
              <w:rPr>
                <w:rFonts w:eastAsia="MS Mincho"/>
              </w:rPr>
            </w:pPr>
            <w:r w:rsidRPr="00927DA8">
              <w:rPr>
                <w:rFonts w:eastAsia="MS Mincho"/>
              </w:rPr>
              <w:t>Sulphur dioxide (</w:t>
            </w:r>
            <w:r w:rsidRPr="00927DA8">
              <w:t>SO</w:t>
            </w:r>
            <w:r w:rsidRPr="00927DA8">
              <w:rPr>
                <w:vertAlign w:val="subscript"/>
              </w:rPr>
              <w:t>2</w:t>
            </w:r>
            <w:r w:rsidRPr="00927DA8">
              <w:rPr>
                <w:rFonts w:eastAsia="MS Mincho"/>
              </w:rPr>
              <w:t>)</w:t>
            </w:r>
          </w:p>
        </w:tc>
        <w:tc>
          <w:tcPr>
            <w:tcW w:w="3827" w:type="dxa"/>
            <w:shd w:val="clear" w:color="auto" w:fill="auto"/>
            <w:vAlign w:val="center"/>
          </w:tcPr>
          <w:p w14:paraId="4C2C09D1" w14:textId="77777777" w:rsidR="008A6F74" w:rsidRPr="00927DA8" w:rsidRDefault="008A6F74" w:rsidP="00A35F97">
            <w:pPr>
              <w:pStyle w:val="ACTableText"/>
              <w:rPr>
                <w:rFonts w:eastAsia="MS Mincho"/>
              </w:rPr>
            </w:pPr>
            <w:r w:rsidRPr="00104A9C">
              <w:rPr>
                <w:rFonts w:eastAsia="MS Mincho"/>
                <w:color w:val="0070C0"/>
              </w:rPr>
              <w:t>x</w:t>
            </w:r>
            <w:r w:rsidRPr="00927DA8">
              <w:rPr>
                <w:rFonts w:eastAsia="MS Mincho"/>
              </w:rPr>
              <w:t xml:space="preserve"> mg/m³</w:t>
            </w:r>
          </w:p>
        </w:tc>
      </w:tr>
      <w:tr w:rsidR="008A6F74" w:rsidRPr="00927DA8" w14:paraId="5865215E" w14:textId="77777777" w:rsidTr="00CD52EF">
        <w:tc>
          <w:tcPr>
            <w:tcW w:w="4111" w:type="dxa"/>
            <w:shd w:val="clear" w:color="auto" w:fill="auto"/>
            <w:vAlign w:val="center"/>
          </w:tcPr>
          <w:p w14:paraId="12F7D66F" w14:textId="77777777" w:rsidR="008A6F74" w:rsidRPr="00927DA8" w:rsidRDefault="008A6F74" w:rsidP="00A35F97">
            <w:pPr>
              <w:pStyle w:val="ACTableText"/>
              <w:rPr>
                <w:rFonts w:eastAsia="MS Mincho"/>
              </w:rPr>
            </w:pPr>
            <w:r w:rsidRPr="00927DA8">
              <w:rPr>
                <w:rFonts w:eastAsia="MS Mincho"/>
              </w:rPr>
              <w:t>Lead (Pb)</w:t>
            </w:r>
          </w:p>
        </w:tc>
        <w:tc>
          <w:tcPr>
            <w:tcW w:w="3827" w:type="dxa"/>
            <w:shd w:val="clear" w:color="auto" w:fill="auto"/>
            <w:vAlign w:val="center"/>
          </w:tcPr>
          <w:p w14:paraId="48EA1CF1" w14:textId="77777777" w:rsidR="008A6F74" w:rsidRPr="00927DA8" w:rsidRDefault="008A6F74" w:rsidP="00A35F97">
            <w:pPr>
              <w:pStyle w:val="ACTableText"/>
              <w:rPr>
                <w:rFonts w:eastAsia="MS Mincho"/>
              </w:rPr>
            </w:pPr>
            <w:r w:rsidRPr="00104A9C">
              <w:rPr>
                <w:rFonts w:eastAsia="MS Mincho"/>
                <w:color w:val="0070C0"/>
              </w:rPr>
              <w:t>x</w:t>
            </w:r>
            <w:r w:rsidRPr="00927DA8">
              <w:rPr>
                <w:rFonts w:eastAsia="MS Mincho"/>
              </w:rPr>
              <w:t xml:space="preserve"> mg/m³</w:t>
            </w:r>
          </w:p>
        </w:tc>
      </w:tr>
    </w:tbl>
    <w:p w14:paraId="657B8659" w14:textId="77777777" w:rsidR="0005071B" w:rsidRDefault="0005071B" w:rsidP="008A6F74">
      <w:pPr>
        <w:pStyle w:val="ACConditionBodyText"/>
      </w:pPr>
    </w:p>
    <w:p w14:paraId="3ABDE87E" w14:textId="4E13B7B5" w:rsidR="008A6F74" w:rsidRPr="00277EFA" w:rsidRDefault="008A6F74" w:rsidP="008A6F74">
      <w:pPr>
        <w:pStyle w:val="ACConditionBodyText"/>
      </w:pPr>
      <w:r w:rsidRPr="00277EFA">
        <w:t xml:space="preserve">All emission concentrations </w:t>
      </w:r>
      <w:r>
        <w:t>must</w:t>
      </w:r>
      <w:r w:rsidRPr="00277EFA">
        <w:t xml:space="preserve"> be corrected to zero degrees Celsius, one atmosphere pressure and a dry gas basis.</w:t>
      </w:r>
    </w:p>
    <w:p w14:paraId="228CFF58" w14:textId="77777777" w:rsidR="008A6F74" w:rsidRPr="00150CD2" w:rsidRDefault="008A6F74" w:rsidP="008A6F74">
      <w:pPr>
        <w:pStyle w:val="ACSCMStaffHeader"/>
      </w:pPr>
      <w:bookmarkStart w:id="45" w:name="_Toc417042691"/>
      <w:bookmarkStart w:id="46" w:name="_Toc417044439"/>
      <w:bookmarkStart w:id="47" w:name="_Toc417047061"/>
      <w:bookmarkStart w:id="48" w:name="_Toc419466232"/>
      <w:bookmarkStart w:id="49" w:name="_Toc421794666"/>
      <w:r w:rsidRPr="00150CD2">
        <w:lastRenderedPageBreak/>
        <w:t>Guidance Note:</w:t>
      </w:r>
      <w:bookmarkEnd w:id="45"/>
      <w:bookmarkEnd w:id="46"/>
      <w:bookmarkEnd w:id="47"/>
      <w:bookmarkEnd w:id="48"/>
      <w:bookmarkEnd w:id="49"/>
      <w:r w:rsidRPr="00150CD2">
        <w:t xml:space="preserve">   </w:t>
      </w:r>
    </w:p>
    <w:p w14:paraId="162C9715" w14:textId="77777777" w:rsidR="008A6F74" w:rsidRPr="00150CD2" w:rsidRDefault="008A6F74" w:rsidP="0005071B">
      <w:pPr>
        <w:pStyle w:val="ACSCMnote2staff"/>
        <w:rPr>
          <w:rStyle w:val="ACSCMnote2staffChar"/>
          <w:i/>
        </w:rPr>
      </w:pPr>
      <w:bookmarkStart w:id="50" w:name="_Toc417042692"/>
      <w:bookmarkStart w:id="51" w:name="_Toc417044440"/>
      <w:bookmarkStart w:id="52" w:name="_Toc417047062"/>
      <w:bookmarkStart w:id="53" w:name="_Toc419466233"/>
      <w:bookmarkStart w:id="54" w:name="_Toc421794667"/>
      <w:r w:rsidRPr="00150CD2">
        <w:rPr>
          <w:rStyle w:val="ACSCMnote2staffChar"/>
          <w:i/>
        </w:rPr>
        <w:t>The purpose of this condition is to require routine testing of the discharges to demonstrate that they comply with the set limits for relevant contaminants discharged by the activity. The applicants AEE will have proven that if discharges are maintained below this level, significant adverse effects will not occur.  Testing for various contaminants, including odour, is possible according to different standards and the frequency of testing is site specific.</w:t>
      </w:r>
      <w:bookmarkEnd w:id="50"/>
      <w:bookmarkEnd w:id="51"/>
      <w:bookmarkEnd w:id="52"/>
      <w:bookmarkEnd w:id="53"/>
      <w:bookmarkEnd w:id="54"/>
    </w:p>
    <w:p w14:paraId="47ACB860" w14:textId="77777777" w:rsidR="008A6F74" w:rsidRPr="00277EFA" w:rsidRDefault="008A6F74" w:rsidP="0005071B">
      <w:pPr>
        <w:pStyle w:val="ACSCMconditiondivider"/>
      </w:pPr>
    </w:p>
    <w:p w14:paraId="482A1A1C" w14:textId="77777777" w:rsidR="008A6F74" w:rsidRDefault="008A6F74" w:rsidP="0005071B">
      <w:pPr>
        <w:pStyle w:val="Heading3"/>
      </w:pPr>
      <w:bookmarkStart w:id="55" w:name="_Toc491179250"/>
      <w:r w:rsidRPr="00277EFA">
        <w:t>Condition 11: Emission testing</w:t>
      </w:r>
      <w:bookmarkEnd w:id="55"/>
    </w:p>
    <w:p w14:paraId="123878D8" w14:textId="77777777" w:rsidR="008A6F74" w:rsidRPr="00277EFA" w:rsidRDefault="008A6F74" w:rsidP="008A6F74">
      <w:pPr>
        <w:pStyle w:val="ACConditionBodyText"/>
      </w:pPr>
      <w:r w:rsidRPr="00277EFA">
        <w:t xml:space="preserve">Emission tests </w:t>
      </w:r>
      <w:r>
        <w:t>must</w:t>
      </w:r>
      <w:r w:rsidRPr="00277EFA">
        <w:t xml:space="preserve"> be conducted on the </w:t>
      </w:r>
      <w:r w:rsidRPr="00277EFA">
        <w:rPr>
          <w:i/>
          <w:color w:val="00B050"/>
          <w:lang w:eastAsia="en-NZ"/>
        </w:rPr>
        <w:t>x</w:t>
      </w:r>
      <w:r w:rsidRPr="00277EFA">
        <w:t xml:space="preserve"> stack to determine compliance with </w:t>
      </w:r>
      <w:r>
        <w:t>condition</w:t>
      </w:r>
      <w:r w:rsidRPr="00277EFA">
        <w:t xml:space="preserve"> </w:t>
      </w:r>
      <w:r w:rsidRPr="00277EFA">
        <w:rPr>
          <w:i/>
          <w:color w:val="00B050"/>
          <w:lang w:eastAsia="en-NZ"/>
        </w:rPr>
        <w:t>X</w:t>
      </w:r>
      <w:r w:rsidRPr="00277EFA">
        <w:t xml:space="preserve"> above.  These tests </w:t>
      </w:r>
      <w:r>
        <w:t>must</w:t>
      </w:r>
      <w:r w:rsidRPr="00277EFA">
        <w:t>:</w:t>
      </w:r>
    </w:p>
    <w:p w14:paraId="1B80B3B0" w14:textId="77777777" w:rsidR="008A6F74" w:rsidRPr="00932EA0" w:rsidRDefault="008A6F74" w:rsidP="008A6F74">
      <w:pPr>
        <w:pStyle w:val="ACBodyTextNumbers"/>
        <w:numPr>
          <w:ilvl w:val="0"/>
          <w:numId w:val="48"/>
        </w:numPr>
      </w:pPr>
      <w:r w:rsidRPr="00932EA0">
        <w:t>Be conducted for the discharges of TSP, NOx, SO2, and lead;</w:t>
      </w:r>
    </w:p>
    <w:p w14:paraId="337A29C6" w14:textId="77777777" w:rsidR="008A6F74" w:rsidRPr="00932EA0" w:rsidRDefault="008A6F74" w:rsidP="008A6F74">
      <w:pPr>
        <w:pStyle w:val="ACBodyTextNumbers"/>
        <w:numPr>
          <w:ilvl w:val="0"/>
          <w:numId w:val="48"/>
        </w:numPr>
      </w:pPr>
      <w:r w:rsidRPr="00932EA0">
        <w:t>Be conducted within x months of the commencement of this consent and then annually thereafter for the duration of the consent;</w:t>
      </w:r>
    </w:p>
    <w:p w14:paraId="70A16BAA" w14:textId="77777777" w:rsidR="008A6F74" w:rsidRPr="00932EA0" w:rsidRDefault="008A6F74" w:rsidP="008A6F74">
      <w:pPr>
        <w:pStyle w:val="ACBodyTextNumbers"/>
        <w:numPr>
          <w:ilvl w:val="0"/>
          <w:numId w:val="48"/>
        </w:numPr>
      </w:pPr>
      <w:r w:rsidRPr="00932EA0">
        <w:t>Be conducted during process conditions that will give rise to maximum normal emissions;</w:t>
      </w:r>
    </w:p>
    <w:p w14:paraId="7BAC57AF" w14:textId="77777777" w:rsidR="008A6F74" w:rsidRPr="00932EA0" w:rsidRDefault="008A6F74" w:rsidP="008A6F74">
      <w:pPr>
        <w:pStyle w:val="ACBodyTextNumbers"/>
        <w:numPr>
          <w:ilvl w:val="0"/>
          <w:numId w:val="48"/>
        </w:numPr>
      </w:pPr>
      <w:r w:rsidRPr="00932EA0">
        <w:t>Be undertaken utilising:</w:t>
      </w:r>
    </w:p>
    <w:p w14:paraId="1DACC964" w14:textId="77777777" w:rsidR="008A6F74" w:rsidRPr="00932EA0" w:rsidRDefault="008A6F74" w:rsidP="008A6F74">
      <w:pPr>
        <w:pStyle w:val="ACBodyTextBulletsLevel2"/>
      </w:pPr>
      <w:r w:rsidRPr="00932EA0">
        <w:t>AS4323.2-1995, ISO 9096:2003 or US EPA Method 5 for TSP;</w:t>
      </w:r>
    </w:p>
    <w:p w14:paraId="08B6BBB3" w14:textId="77777777" w:rsidR="008A6F74" w:rsidRPr="00932EA0" w:rsidRDefault="008A6F74" w:rsidP="008A6F74">
      <w:pPr>
        <w:pStyle w:val="ACBodyTextBulletsLevel2"/>
      </w:pPr>
      <w:r w:rsidRPr="00932EA0">
        <w:t>US EPA Method 7E for NOx;</w:t>
      </w:r>
    </w:p>
    <w:p w14:paraId="654B889C" w14:textId="77777777" w:rsidR="008A6F74" w:rsidRPr="00932EA0" w:rsidRDefault="008A6F74" w:rsidP="008A6F74">
      <w:pPr>
        <w:pStyle w:val="ACBodyTextBulletsLevel2"/>
      </w:pPr>
      <w:r w:rsidRPr="00932EA0">
        <w:t>ISO 7935:1992, ISO 7934:1998, or US EPA Methods 6, 6C or 8 for SO2;</w:t>
      </w:r>
    </w:p>
    <w:p w14:paraId="1DC4A68F" w14:textId="77777777" w:rsidR="008A6F74" w:rsidRPr="00932EA0" w:rsidRDefault="008A6F74" w:rsidP="008A6F74">
      <w:pPr>
        <w:pStyle w:val="ACBodyTextBulletsLevel2"/>
      </w:pPr>
      <w:r w:rsidRPr="00932EA0">
        <w:t>US EPA Method 29 for lead;</w:t>
      </w:r>
    </w:p>
    <w:p w14:paraId="1C368648" w14:textId="7B59C545" w:rsidR="008A6F74" w:rsidRPr="00932EA0" w:rsidRDefault="008A6F74" w:rsidP="008A6F74">
      <w:pPr>
        <w:pStyle w:val="ACBodyTextBulletsLevel2"/>
      </w:pPr>
      <w:r w:rsidRPr="00932EA0">
        <w:t xml:space="preserve">or other methods approved by the </w:t>
      </w:r>
      <w:r w:rsidR="00BC5B60">
        <w:t>Council</w:t>
      </w:r>
      <w:r w:rsidRPr="00932EA0">
        <w:t xml:space="preserve"> (</w:t>
      </w:r>
      <w:r w:rsidRPr="00805FE9">
        <w:rPr>
          <w:i/>
          <w:iCs/>
        </w:rPr>
        <w:t>see advice note below</w:t>
      </w:r>
      <w:r w:rsidRPr="00932EA0">
        <w:t>);</w:t>
      </w:r>
    </w:p>
    <w:p w14:paraId="72CA32D3" w14:textId="77777777" w:rsidR="008A6F74" w:rsidRPr="00932EA0" w:rsidRDefault="008A6F74" w:rsidP="008A6F74">
      <w:pPr>
        <w:pStyle w:val="ACBodyTextNumbers"/>
        <w:numPr>
          <w:ilvl w:val="0"/>
          <w:numId w:val="48"/>
        </w:numPr>
      </w:pPr>
      <w:r w:rsidRPr="00932EA0">
        <w:t>Comprise not less than three separate samples with the concentration results corrected to zero degrees Celsius, one atmosphere pressure and a dry gas basis; and</w:t>
      </w:r>
    </w:p>
    <w:p w14:paraId="520CAB1B" w14:textId="77777777" w:rsidR="008A6F74" w:rsidRPr="00932EA0" w:rsidRDefault="008A6F74" w:rsidP="008A6F74">
      <w:pPr>
        <w:pStyle w:val="ACBodyTextNumbers"/>
        <w:numPr>
          <w:ilvl w:val="0"/>
          <w:numId w:val="48"/>
        </w:numPr>
      </w:pPr>
      <w:r w:rsidRPr="00932EA0">
        <w:t>Be carried out by companies with International Accreditation New Zealand (IANZ) accreditation for the methods required for testing at the site.</w:t>
      </w:r>
    </w:p>
    <w:p w14:paraId="356F584E" w14:textId="77777777" w:rsidR="0005071B" w:rsidRDefault="0005071B" w:rsidP="008A6F74">
      <w:pPr>
        <w:pStyle w:val="ACBodyTextHeader"/>
      </w:pPr>
      <w:bookmarkStart w:id="56" w:name="_Toc417044442"/>
    </w:p>
    <w:p w14:paraId="4B0D1EB9" w14:textId="05992D0C" w:rsidR="008A6F74" w:rsidRPr="006670AF" w:rsidRDefault="008A6F74" w:rsidP="008A6F74">
      <w:pPr>
        <w:pStyle w:val="ACBodyTextHeader"/>
        <w:rPr>
          <w:b w:val="0"/>
          <w:bCs w:val="0"/>
          <w:u w:val="single"/>
        </w:rPr>
      </w:pPr>
      <w:r w:rsidRPr="006670AF">
        <w:rPr>
          <w:b w:val="0"/>
          <w:bCs w:val="0"/>
          <w:u w:val="single"/>
        </w:rPr>
        <w:t>Advice Note</w:t>
      </w:r>
      <w:bookmarkEnd w:id="56"/>
      <w:r w:rsidR="006670AF">
        <w:rPr>
          <w:b w:val="0"/>
          <w:bCs w:val="0"/>
          <w:u w:val="single"/>
        </w:rPr>
        <w:t>:</w:t>
      </w:r>
    </w:p>
    <w:p w14:paraId="516078F8" w14:textId="2B2AD0C6" w:rsidR="008A6F74" w:rsidRPr="006670AF" w:rsidRDefault="008A6F74" w:rsidP="008A6F74">
      <w:pPr>
        <w:pStyle w:val="ACBodyTextAdviceNote"/>
        <w:rPr>
          <w:i w:val="0"/>
        </w:rPr>
      </w:pPr>
      <w:bookmarkStart w:id="57" w:name="_Toc417042695"/>
      <w:bookmarkStart w:id="58" w:name="_Toc417044443"/>
      <w:bookmarkStart w:id="59" w:name="_Toc417047064"/>
      <w:bookmarkStart w:id="60" w:name="_Toc419466235"/>
      <w:bookmarkStart w:id="61" w:name="_Toc421794669"/>
      <w:r w:rsidRPr="006670AF">
        <w:rPr>
          <w:i w:val="0"/>
        </w:rPr>
        <w:t xml:space="preserve">The approval of the </w:t>
      </w:r>
      <w:r w:rsidR="00BC5B60">
        <w:rPr>
          <w:i w:val="0"/>
        </w:rPr>
        <w:t>Council</w:t>
      </w:r>
      <w:r w:rsidRPr="006670AF">
        <w:rPr>
          <w:i w:val="0"/>
        </w:rPr>
        <w:t xml:space="preserve"> for an alternate method for source emissions testing will be based on a demonstrated advantage or equivalence of the method over the specified method for the accuracy and precision of results and the testing company being suitably accredited for the alternate test method.</w:t>
      </w:r>
      <w:bookmarkEnd w:id="57"/>
      <w:bookmarkEnd w:id="58"/>
      <w:bookmarkEnd w:id="59"/>
      <w:bookmarkEnd w:id="60"/>
      <w:bookmarkEnd w:id="61"/>
      <w:r w:rsidRPr="006670AF">
        <w:rPr>
          <w:i w:val="0"/>
        </w:rPr>
        <w:t xml:space="preserve"> </w:t>
      </w:r>
    </w:p>
    <w:p w14:paraId="7D0DB328" w14:textId="772A6995" w:rsidR="008A6F74" w:rsidRPr="00150CD2" w:rsidRDefault="008A6F74" w:rsidP="008A6F74">
      <w:pPr>
        <w:pStyle w:val="ACSCMStaffHeader"/>
        <w:rPr>
          <w:lang w:eastAsia="en-NZ"/>
        </w:rPr>
      </w:pPr>
      <w:bookmarkStart w:id="62" w:name="_Toc417042696"/>
      <w:bookmarkStart w:id="63" w:name="_Toc417044444"/>
      <w:bookmarkStart w:id="64" w:name="_Toc417047065"/>
      <w:bookmarkStart w:id="65" w:name="_Toc419466236"/>
      <w:bookmarkStart w:id="66" w:name="_Toc421794670"/>
      <w:r w:rsidRPr="00150CD2">
        <w:rPr>
          <w:lang w:eastAsia="en-NZ"/>
        </w:rPr>
        <w:lastRenderedPageBreak/>
        <w:t>Guidance Note</w:t>
      </w:r>
      <w:bookmarkEnd w:id="62"/>
      <w:bookmarkEnd w:id="63"/>
      <w:bookmarkEnd w:id="64"/>
      <w:bookmarkEnd w:id="65"/>
      <w:bookmarkEnd w:id="66"/>
      <w:r w:rsidR="00150CD2">
        <w:rPr>
          <w:lang w:eastAsia="en-NZ"/>
        </w:rPr>
        <w:t>:</w:t>
      </w:r>
    </w:p>
    <w:p w14:paraId="6B23AC54" w14:textId="77777777" w:rsidR="00CD52EF" w:rsidRPr="00150CD2" w:rsidRDefault="008A6F74" w:rsidP="0005071B">
      <w:pPr>
        <w:pStyle w:val="ACSCMnote2staff"/>
      </w:pPr>
      <w:bookmarkStart w:id="67" w:name="_Toc417042697"/>
      <w:bookmarkStart w:id="68" w:name="_Toc417044445"/>
      <w:bookmarkStart w:id="69" w:name="_Toc417047066"/>
      <w:bookmarkStart w:id="70" w:name="_Toc419466237"/>
      <w:bookmarkStart w:id="71" w:name="_Toc421794671"/>
      <w:r w:rsidRPr="00150CD2">
        <w:t>The purpose of this condition is to outline what sampling methods to use and what information should be collected for discharges where Council Contamination, Air, and Noise specialists have recommended that routine testing is required.</w:t>
      </w:r>
      <w:bookmarkEnd w:id="67"/>
      <w:bookmarkEnd w:id="68"/>
      <w:bookmarkEnd w:id="69"/>
      <w:bookmarkEnd w:id="70"/>
      <w:bookmarkEnd w:id="71"/>
    </w:p>
    <w:p w14:paraId="1D38A8A2" w14:textId="2238766B" w:rsidR="008A6F74" w:rsidRPr="00700AD5" w:rsidRDefault="008A6F74" w:rsidP="00CD52EF">
      <w:pPr>
        <w:pStyle w:val="ACSCMconditiondivider"/>
        <w:rPr>
          <w:lang w:eastAsia="en-NZ"/>
        </w:rPr>
      </w:pPr>
      <w:r w:rsidRPr="00277EFA">
        <w:t xml:space="preserve"> </w:t>
      </w:r>
    </w:p>
    <w:p w14:paraId="21AA1E21" w14:textId="77777777" w:rsidR="008A6F74" w:rsidRDefault="008A6F74" w:rsidP="0005071B">
      <w:pPr>
        <w:pStyle w:val="Heading3"/>
      </w:pPr>
      <w:bookmarkStart w:id="72" w:name="_Toc491179251"/>
      <w:r w:rsidRPr="00277EFA">
        <w:t>Condition 12: Emissions reporting</w:t>
      </w:r>
      <w:bookmarkEnd w:id="72"/>
    </w:p>
    <w:p w14:paraId="16529236" w14:textId="56570419" w:rsidR="008A6F74" w:rsidRPr="00277EFA" w:rsidRDefault="008A6F74" w:rsidP="008A6F74">
      <w:pPr>
        <w:pStyle w:val="ACConditionBodyText"/>
        <w:rPr>
          <w:lang w:val="en-AU"/>
        </w:rPr>
      </w:pPr>
      <w:bookmarkStart w:id="73" w:name="_Toc417042699"/>
      <w:bookmarkStart w:id="74" w:name="_Toc417044447"/>
      <w:bookmarkStart w:id="75" w:name="_Toc417047068"/>
      <w:bookmarkStart w:id="76" w:name="_Toc419466239"/>
      <w:bookmarkStart w:id="77" w:name="_Toc421794673"/>
      <w:r w:rsidRPr="00277EFA">
        <w:t xml:space="preserve">The results of emission tests, the relevant operating parameters, the raw data and all calculations </w:t>
      </w:r>
      <w:r>
        <w:t>must</w:t>
      </w:r>
      <w:r w:rsidRPr="00277EFA">
        <w:t xml:space="preserve"> be submitted in the form of a report to the </w:t>
      </w:r>
      <w:r w:rsidR="00BC5B60">
        <w:rPr>
          <w:color w:val="000000" w:themeColor="text1"/>
        </w:rPr>
        <w:t>Council</w:t>
      </w:r>
      <w:r w:rsidRPr="00277EFA">
        <w:t>, within 30 working days of the samples being taken.</w:t>
      </w:r>
      <w:bookmarkEnd w:id="73"/>
      <w:bookmarkEnd w:id="74"/>
      <w:bookmarkEnd w:id="75"/>
      <w:bookmarkEnd w:id="76"/>
      <w:bookmarkEnd w:id="77"/>
    </w:p>
    <w:p w14:paraId="78BFDA43" w14:textId="77777777" w:rsidR="008A6F74" w:rsidRPr="00150CD2" w:rsidRDefault="008A6F74" w:rsidP="008A6F74">
      <w:pPr>
        <w:pStyle w:val="ACSCMStaffHeader"/>
        <w:rPr>
          <w:lang w:eastAsia="en-NZ"/>
        </w:rPr>
      </w:pPr>
      <w:bookmarkStart w:id="78" w:name="_Toc417044448"/>
      <w:bookmarkStart w:id="79" w:name="_Toc417047069"/>
      <w:bookmarkStart w:id="80" w:name="_Toc419466240"/>
      <w:bookmarkStart w:id="81" w:name="_Toc421794674"/>
      <w:r w:rsidRPr="00150CD2">
        <w:rPr>
          <w:lang w:eastAsia="en-NZ"/>
        </w:rPr>
        <w:t>Guidance Note :</w:t>
      </w:r>
      <w:bookmarkEnd w:id="78"/>
      <w:bookmarkEnd w:id="79"/>
      <w:bookmarkEnd w:id="80"/>
      <w:bookmarkEnd w:id="81"/>
    </w:p>
    <w:p w14:paraId="73252277" w14:textId="77777777" w:rsidR="008A6F74" w:rsidRPr="00150CD2" w:rsidRDefault="008A6F74" w:rsidP="00150CD2">
      <w:pPr>
        <w:pStyle w:val="ACSCMnote2staff"/>
      </w:pPr>
      <w:bookmarkStart w:id="82" w:name="_Toc417042701"/>
      <w:bookmarkStart w:id="83" w:name="_Toc417044449"/>
      <w:bookmarkStart w:id="84" w:name="_Toc417047070"/>
      <w:bookmarkStart w:id="85" w:name="_Toc419466241"/>
      <w:bookmarkStart w:id="86" w:name="_Toc421794675"/>
      <w:r w:rsidRPr="00150CD2">
        <w:t>The purpose of this condition is to require reporting of the sampling to be provided to the council for our records. This condition is to be placed on all decisions where condition 11 above has been imposed.</w:t>
      </w:r>
      <w:bookmarkEnd w:id="82"/>
      <w:bookmarkEnd w:id="83"/>
      <w:bookmarkEnd w:id="84"/>
      <w:bookmarkEnd w:id="85"/>
      <w:bookmarkEnd w:id="86"/>
      <w:r w:rsidRPr="00150CD2">
        <w:t xml:space="preserve"> </w:t>
      </w:r>
    </w:p>
    <w:p w14:paraId="72A81F3F" w14:textId="77777777" w:rsidR="008A6F74" w:rsidRPr="004258E1" w:rsidRDefault="008A6F74" w:rsidP="0005071B">
      <w:pPr>
        <w:pStyle w:val="ACSCMconditiondivider"/>
        <w:rPr>
          <w:lang w:eastAsia="en-NZ"/>
        </w:rPr>
      </w:pPr>
    </w:p>
    <w:p w14:paraId="36C3A302" w14:textId="77777777" w:rsidR="008A6F74" w:rsidRDefault="008A6F74" w:rsidP="0005071B">
      <w:pPr>
        <w:pStyle w:val="Heading3"/>
      </w:pPr>
      <w:bookmarkStart w:id="87" w:name="_Toc491179252"/>
      <w:r w:rsidRPr="00277EFA">
        <w:t>Condition 13: Air Quality Management Plan</w:t>
      </w:r>
      <w:bookmarkEnd w:id="87"/>
    </w:p>
    <w:p w14:paraId="0A514598" w14:textId="2B604784" w:rsidR="008A6F74" w:rsidRPr="00D72518" w:rsidRDefault="008A6F74" w:rsidP="008A6F74">
      <w:pPr>
        <w:ind w:left="567" w:right="567"/>
        <w:rPr>
          <w:rFonts w:eastAsiaTheme="majorEastAsia" w:cstheme="majorBidi"/>
          <w:bCs/>
          <w:sz w:val="22"/>
          <w:szCs w:val="28"/>
        </w:rPr>
      </w:pPr>
      <w:r w:rsidRPr="00D72518">
        <w:rPr>
          <w:rFonts w:eastAsiaTheme="majorEastAsia" w:cstheme="majorBidi"/>
          <w:bCs/>
          <w:sz w:val="22"/>
          <w:szCs w:val="28"/>
        </w:rPr>
        <w:t xml:space="preserve">Within </w:t>
      </w:r>
      <w:r w:rsidRPr="00D72518">
        <w:rPr>
          <w:rFonts w:eastAsiaTheme="majorEastAsia" w:cstheme="majorBidi"/>
          <w:bCs/>
          <w:color w:val="0070C0"/>
          <w:sz w:val="22"/>
          <w:szCs w:val="28"/>
          <w:lang w:eastAsia="en-NZ"/>
        </w:rPr>
        <w:t xml:space="preserve">[add days] </w:t>
      </w:r>
      <w:r w:rsidRPr="00D72518">
        <w:rPr>
          <w:rFonts w:eastAsiaTheme="majorEastAsia" w:cstheme="majorBidi"/>
          <w:bCs/>
          <w:sz w:val="22"/>
          <w:szCs w:val="28"/>
        </w:rPr>
        <w:t xml:space="preserve">of the date of commencement of this consent an Air Quality Management Plan (AQMP) </w:t>
      </w:r>
      <w:r>
        <w:rPr>
          <w:rFonts w:eastAsiaTheme="majorEastAsia" w:cstheme="majorBidi"/>
          <w:bCs/>
          <w:sz w:val="22"/>
          <w:szCs w:val="28"/>
        </w:rPr>
        <w:t>must</w:t>
      </w:r>
      <w:r w:rsidRPr="00D72518">
        <w:rPr>
          <w:rFonts w:eastAsiaTheme="majorEastAsia" w:cstheme="majorBidi"/>
          <w:bCs/>
          <w:sz w:val="22"/>
          <w:szCs w:val="28"/>
        </w:rPr>
        <w:t xml:space="preserve"> be submitted to the </w:t>
      </w:r>
      <w:r w:rsidR="00BC5B60">
        <w:rPr>
          <w:rFonts w:eastAsiaTheme="majorEastAsia" w:cstheme="majorBidi"/>
          <w:bCs/>
          <w:sz w:val="22"/>
          <w:szCs w:val="28"/>
        </w:rPr>
        <w:t xml:space="preserve">Council </w:t>
      </w:r>
      <w:r w:rsidRPr="00D72518">
        <w:rPr>
          <w:rFonts w:eastAsiaTheme="majorEastAsia" w:cstheme="majorBidi"/>
          <w:bCs/>
          <w:sz w:val="22"/>
          <w:szCs w:val="28"/>
        </w:rPr>
        <w:t xml:space="preserve">for certification, to confirm that the activities undertaken in accordance with the AQMP will achieve the objectives of the plan and compliance with the relevant consent conditions. Any subsequent review of the AQMP </w:t>
      </w:r>
      <w:r>
        <w:rPr>
          <w:rFonts w:eastAsiaTheme="majorEastAsia" w:cstheme="majorBidi"/>
          <w:bCs/>
          <w:sz w:val="22"/>
          <w:szCs w:val="28"/>
        </w:rPr>
        <w:t>must</w:t>
      </w:r>
      <w:r w:rsidRPr="00D72518">
        <w:rPr>
          <w:rFonts w:eastAsiaTheme="majorEastAsia" w:cstheme="majorBidi"/>
          <w:bCs/>
          <w:sz w:val="22"/>
          <w:szCs w:val="28"/>
        </w:rPr>
        <w:t xml:space="preserve"> also be submitted to the </w:t>
      </w:r>
      <w:r w:rsidR="00BC5B60">
        <w:rPr>
          <w:rFonts w:eastAsiaTheme="majorEastAsia" w:cstheme="majorBidi"/>
          <w:bCs/>
          <w:sz w:val="22"/>
          <w:szCs w:val="28"/>
        </w:rPr>
        <w:t>Council</w:t>
      </w:r>
      <w:r w:rsidRPr="00D72518">
        <w:rPr>
          <w:rFonts w:eastAsiaTheme="majorEastAsia" w:cstheme="majorBidi"/>
          <w:bCs/>
          <w:sz w:val="22"/>
          <w:szCs w:val="28"/>
        </w:rPr>
        <w:t xml:space="preserve"> for certification. The consent holder </w:t>
      </w:r>
      <w:r>
        <w:rPr>
          <w:rFonts w:eastAsiaTheme="majorEastAsia" w:cstheme="majorBidi"/>
          <w:bCs/>
          <w:sz w:val="22"/>
          <w:szCs w:val="28"/>
        </w:rPr>
        <w:t>must</w:t>
      </w:r>
      <w:r w:rsidRPr="00D72518">
        <w:rPr>
          <w:rFonts w:eastAsiaTheme="majorEastAsia" w:cstheme="majorBidi"/>
          <w:bCs/>
          <w:sz w:val="22"/>
          <w:szCs w:val="28"/>
        </w:rPr>
        <w:t xml:space="preserve"> meet the costs of the production, certification, monitoring and review of the AQMP.</w:t>
      </w:r>
    </w:p>
    <w:p w14:paraId="6AE77EBB" w14:textId="77777777" w:rsidR="008A6F74" w:rsidRPr="00D72518" w:rsidRDefault="008A6F74" w:rsidP="008A6F74">
      <w:pPr>
        <w:ind w:left="567" w:right="567"/>
        <w:rPr>
          <w:rFonts w:eastAsiaTheme="majorEastAsia" w:cstheme="majorBidi"/>
          <w:bCs/>
          <w:sz w:val="22"/>
          <w:szCs w:val="28"/>
        </w:rPr>
      </w:pPr>
      <w:r w:rsidRPr="00D72518">
        <w:rPr>
          <w:rFonts w:eastAsiaTheme="majorEastAsia" w:cstheme="majorBidi"/>
          <w:bCs/>
          <w:sz w:val="22"/>
          <w:szCs w:val="28"/>
        </w:rPr>
        <w:t xml:space="preserve">The overall objective of the AQMP </w:t>
      </w:r>
      <w:r>
        <w:rPr>
          <w:rFonts w:eastAsiaTheme="majorEastAsia" w:cstheme="majorBidi"/>
          <w:bCs/>
          <w:sz w:val="22"/>
          <w:szCs w:val="28"/>
        </w:rPr>
        <w:t>must</w:t>
      </w:r>
      <w:r w:rsidRPr="00D72518">
        <w:rPr>
          <w:rFonts w:eastAsiaTheme="majorEastAsia" w:cstheme="majorBidi"/>
          <w:bCs/>
          <w:sz w:val="22"/>
          <w:szCs w:val="28"/>
        </w:rPr>
        <w:t xml:space="preserve"> be to set out the practices and procedures to be adopted to ensure compliance with consent conditions and also to meet the following objectives:</w:t>
      </w:r>
    </w:p>
    <w:p w14:paraId="4DF5B3B5" w14:textId="77777777" w:rsidR="008A6F74" w:rsidRPr="00D72518" w:rsidRDefault="008A6F74" w:rsidP="008A6F74">
      <w:pPr>
        <w:ind w:left="567" w:right="567"/>
        <w:rPr>
          <w:rFonts w:eastAsiaTheme="majorEastAsia" w:cstheme="majorBidi"/>
          <w:bCs/>
          <w:color w:val="0070C0"/>
          <w:sz w:val="22"/>
          <w:szCs w:val="28"/>
          <w:lang w:eastAsia="en-NZ"/>
        </w:rPr>
      </w:pPr>
      <w:proofErr w:type="spellStart"/>
      <w:r w:rsidRPr="00D72518">
        <w:rPr>
          <w:rFonts w:eastAsiaTheme="majorEastAsia" w:cstheme="majorBidi"/>
          <w:bCs/>
          <w:color w:val="0070C0"/>
          <w:sz w:val="22"/>
          <w:szCs w:val="28"/>
          <w:lang w:eastAsia="en-NZ"/>
        </w:rPr>
        <w:t>Xxxx</w:t>
      </w:r>
      <w:proofErr w:type="spellEnd"/>
      <w:r w:rsidRPr="00D72518">
        <w:rPr>
          <w:rFonts w:eastAsiaTheme="majorEastAsia" w:cstheme="majorBidi"/>
          <w:bCs/>
          <w:color w:val="0070C0"/>
          <w:sz w:val="22"/>
          <w:szCs w:val="28"/>
          <w:lang w:eastAsia="en-NZ"/>
        </w:rPr>
        <w:t xml:space="preserve"> [add objectives]</w:t>
      </w:r>
    </w:p>
    <w:p w14:paraId="65FC169F" w14:textId="77777777" w:rsidR="008A6F74" w:rsidRPr="00D72518" w:rsidRDefault="008A6F74" w:rsidP="008A6F74">
      <w:pPr>
        <w:ind w:left="567" w:right="567"/>
        <w:rPr>
          <w:rFonts w:eastAsiaTheme="majorEastAsia" w:cstheme="majorBidi"/>
          <w:bCs/>
          <w:sz w:val="22"/>
          <w:szCs w:val="28"/>
        </w:rPr>
      </w:pPr>
      <w:r w:rsidRPr="00D72518">
        <w:rPr>
          <w:rFonts w:eastAsiaTheme="majorEastAsia" w:cstheme="majorBidi"/>
          <w:bCs/>
          <w:sz w:val="22"/>
          <w:szCs w:val="28"/>
        </w:rPr>
        <w:t xml:space="preserve"> The AQMP </w:t>
      </w:r>
      <w:r>
        <w:rPr>
          <w:rFonts w:eastAsiaTheme="majorEastAsia" w:cstheme="majorBidi"/>
          <w:bCs/>
          <w:sz w:val="22"/>
          <w:szCs w:val="28"/>
        </w:rPr>
        <w:t>must</w:t>
      </w:r>
      <w:r w:rsidRPr="00D72518">
        <w:rPr>
          <w:rFonts w:eastAsiaTheme="majorEastAsia" w:cstheme="majorBidi"/>
          <w:bCs/>
          <w:sz w:val="22"/>
          <w:szCs w:val="28"/>
        </w:rPr>
        <w:t xml:space="preserve"> incorporate a series of monitoring, management and operational procedures, methodologies and contingency plans, and together </w:t>
      </w:r>
      <w:r>
        <w:rPr>
          <w:rFonts w:eastAsiaTheme="majorEastAsia" w:cstheme="majorBidi"/>
          <w:bCs/>
          <w:sz w:val="22"/>
          <w:szCs w:val="28"/>
        </w:rPr>
        <w:t>must</w:t>
      </w:r>
      <w:r w:rsidRPr="00D72518">
        <w:rPr>
          <w:rFonts w:eastAsiaTheme="majorEastAsia" w:cstheme="majorBidi"/>
          <w:bCs/>
          <w:sz w:val="22"/>
          <w:szCs w:val="28"/>
        </w:rPr>
        <w:t xml:space="preserve"> accurately record all information required to comply with the conditions of this consent.  The AQMP </w:t>
      </w:r>
      <w:r>
        <w:rPr>
          <w:rFonts w:eastAsiaTheme="majorEastAsia" w:cstheme="majorBidi"/>
          <w:bCs/>
          <w:sz w:val="22"/>
          <w:szCs w:val="28"/>
        </w:rPr>
        <w:t>must</w:t>
      </w:r>
      <w:r w:rsidRPr="00D72518">
        <w:rPr>
          <w:rFonts w:eastAsiaTheme="majorEastAsia" w:cstheme="majorBidi"/>
          <w:bCs/>
          <w:sz w:val="22"/>
          <w:szCs w:val="28"/>
        </w:rPr>
        <w:t xml:space="preserve"> include the following:</w:t>
      </w:r>
    </w:p>
    <w:p w14:paraId="12FCB2DF" w14:textId="77777777" w:rsidR="008A6F74" w:rsidRPr="00D72518" w:rsidRDefault="008A6F74" w:rsidP="008A6F74">
      <w:pPr>
        <w:numPr>
          <w:ilvl w:val="0"/>
          <w:numId w:val="44"/>
        </w:numPr>
        <w:ind w:right="567"/>
        <w:rPr>
          <w:rFonts w:eastAsiaTheme="majorEastAsia" w:cstheme="majorBidi"/>
          <w:bCs/>
          <w:sz w:val="22"/>
          <w:szCs w:val="28"/>
        </w:rPr>
      </w:pPr>
      <w:r w:rsidRPr="00D72518">
        <w:rPr>
          <w:rFonts w:eastAsiaTheme="majorEastAsia" w:cstheme="majorBidi"/>
          <w:bCs/>
          <w:sz w:val="22"/>
          <w:szCs w:val="28"/>
        </w:rPr>
        <w:t>Identification of all fugitive and point sources for discharges of contaminants into air, including a map showing the location of each source;</w:t>
      </w:r>
    </w:p>
    <w:p w14:paraId="0366D814" w14:textId="77777777" w:rsidR="008A6F74" w:rsidRPr="00D72518" w:rsidRDefault="008A6F74" w:rsidP="008A6F74">
      <w:pPr>
        <w:numPr>
          <w:ilvl w:val="0"/>
          <w:numId w:val="44"/>
        </w:numPr>
        <w:ind w:right="567"/>
        <w:rPr>
          <w:rFonts w:eastAsiaTheme="majorEastAsia" w:cstheme="majorBidi"/>
          <w:bCs/>
          <w:sz w:val="22"/>
          <w:szCs w:val="28"/>
        </w:rPr>
      </w:pPr>
      <w:r w:rsidRPr="00D72518">
        <w:rPr>
          <w:rFonts w:eastAsiaTheme="majorEastAsia" w:cstheme="majorBidi"/>
          <w:bCs/>
          <w:sz w:val="22"/>
          <w:szCs w:val="28"/>
        </w:rPr>
        <w:lastRenderedPageBreak/>
        <w:t>Procedures to minimise discharges of contaminants into air, including details of the inspection, maintenance, monitoring and contingency procedures in place for all emissions control equipment at the site;</w:t>
      </w:r>
    </w:p>
    <w:p w14:paraId="1B7C1A2F" w14:textId="77777777" w:rsidR="008A6F74" w:rsidRPr="00D72518" w:rsidRDefault="008A6F74" w:rsidP="008A6F74">
      <w:pPr>
        <w:numPr>
          <w:ilvl w:val="0"/>
          <w:numId w:val="44"/>
        </w:numPr>
        <w:ind w:right="567"/>
        <w:rPr>
          <w:rFonts w:eastAsiaTheme="majorEastAsia" w:cstheme="majorBidi"/>
          <w:bCs/>
          <w:sz w:val="22"/>
          <w:szCs w:val="28"/>
        </w:rPr>
      </w:pPr>
      <w:r w:rsidRPr="00D72518">
        <w:rPr>
          <w:rFonts w:eastAsiaTheme="majorEastAsia" w:cstheme="majorBidi"/>
          <w:bCs/>
          <w:sz w:val="22"/>
          <w:szCs w:val="28"/>
        </w:rPr>
        <w:t>The operating parameters of emissions control equipment and the frequency and scope of the regular checks to be performed on emissions control equipment;</w:t>
      </w:r>
    </w:p>
    <w:p w14:paraId="03054948" w14:textId="77777777" w:rsidR="008A6F74" w:rsidRPr="00D72518" w:rsidRDefault="008A6F74" w:rsidP="008A6F74">
      <w:pPr>
        <w:numPr>
          <w:ilvl w:val="0"/>
          <w:numId w:val="44"/>
        </w:numPr>
        <w:ind w:right="567"/>
        <w:rPr>
          <w:rFonts w:eastAsiaTheme="majorEastAsia" w:cstheme="majorBidi"/>
          <w:bCs/>
          <w:sz w:val="22"/>
          <w:szCs w:val="28"/>
        </w:rPr>
      </w:pPr>
      <w:r w:rsidRPr="00D72518">
        <w:rPr>
          <w:rFonts w:eastAsiaTheme="majorEastAsia" w:cstheme="majorBidi"/>
          <w:bCs/>
          <w:sz w:val="22"/>
          <w:szCs w:val="28"/>
        </w:rPr>
        <w:t>Details of management and monitoring practices in place to minimise discharges of contaminants into air, including fugitive dust and odour;</w:t>
      </w:r>
    </w:p>
    <w:p w14:paraId="7CD8F837" w14:textId="77777777" w:rsidR="008A6F74" w:rsidRPr="00D72518" w:rsidRDefault="008A6F74" w:rsidP="008A6F74">
      <w:pPr>
        <w:numPr>
          <w:ilvl w:val="0"/>
          <w:numId w:val="44"/>
        </w:numPr>
        <w:ind w:right="567"/>
        <w:rPr>
          <w:rFonts w:eastAsiaTheme="majorEastAsia" w:cstheme="majorBidi"/>
          <w:bCs/>
          <w:sz w:val="22"/>
          <w:szCs w:val="28"/>
        </w:rPr>
      </w:pPr>
      <w:r w:rsidRPr="00D72518">
        <w:rPr>
          <w:rFonts w:eastAsiaTheme="majorEastAsia" w:cstheme="majorBidi"/>
          <w:bCs/>
          <w:sz w:val="22"/>
          <w:szCs w:val="28"/>
        </w:rPr>
        <w:t>Procedures for the monitoring of dust and odour, including details of inspection procedures, recording requirements and contingency measures;</w:t>
      </w:r>
    </w:p>
    <w:p w14:paraId="2AB74481" w14:textId="77777777" w:rsidR="008A6F74" w:rsidRPr="00D72518" w:rsidRDefault="008A6F74" w:rsidP="008A6F74">
      <w:pPr>
        <w:numPr>
          <w:ilvl w:val="0"/>
          <w:numId w:val="44"/>
        </w:numPr>
        <w:ind w:right="567"/>
        <w:rPr>
          <w:rFonts w:eastAsiaTheme="majorEastAsia" w:cstheme="majorBidi"/>
          <w:bCs/>
          <w:sz w:val="22"/>
          <w:szCs w:val="28"/>
        </w:rPr>
      </w:pPr>
      <w:r w:rsidRPr="00D72518">
        <w:rPr>
          <w:rFonts w:eastAsiaTheme="majorEastAsia" w:cstheme="majorBidi"/>
          <w:bCs/>
          <w:sz w:val="22"/>
          <w:szCs w:val="28"/>
        </w:rPr>
        <w:t>The identification of staff responsibilities;</w:t>
      </w:r>
    </w:p>
    <w:p w14:paraId="53CBD045" w14:textId="77777777" w:rsidR="008A6F74" w:rsidRPr="00D72518" w:rsidRDefault="008A6F74" w:rsidP="008A6F74">
      <w:pPr>
        <w:numPr>
          <w:ilvl w:val="0"/>
          <w:numId w:val="44"/>
        </w:numPr>
        <w:ind w:right="567"/>
        <w:rPr>
          <w:rFonts w:eastAsiaTheme="majorEastAsia" w:cstheme="majorBidi"/>
          <w:bCs/>
          <w:sz w:val="22"/>
          <w:szCs w:val="28"/>
        </w:rPr>
      </w:pPr>
      <w:r w:rsidRPr="00D72518">
        <w:rPr>
          <w:rFonts w:eastAsiaTheme="majorEastAsia" w:cstheme="majorBidi"/>
          <w:bCs/>
          <w:sz w:val="22"/>
          <w:szCs w:val="28"/>
        </w:rPr>
        <w:t>The procedures for the receipt, recording and handling of air quality complaints received;</w:t>
      </w:r>
    </w:p>
    <w:p w14:paraId="4D01C4E0" w14:textId="254A2FFF" w:rsidR="008A6F74" w:rsidRPr="00D72518" w:rsidRDefault="00BF635F" w:rsidP="0005071B">
      <w:pPr>
        <w:pStyle w:val="ACSCMStaffHeader"/>
      </w:pPr>
      <w:bookmarkStart w:id="88" w:name="_Toc417042703"/>
      <w:bookmarkStart w:id="89" w:name="_Toc417044451"/>
      <w:bookmarkStart w:id="90" w:name="_Toc417047072"/>
      <w:bookmarkStart w:id="91" w:name="_Toc419466243"/>
      <w:bookmarkStart w:id="92" w:name="_Toc421794677"/>
      <w:r>
        <w:t>Guidance Note</w:t>
      </w:r>
      <w:r w:rsidR="008A6F74" w:rsidRPr="00D72518">
        <w:t>:</w:t>
      </w:r>
      <w:bookmarkEnd w:id="88"/>
      <w:bookmarkEnd w:id="89"/>
      <w:bookmarkEnd w:id="90"/>
      <w:bookmarkEnd w:id="91"/>
      <w:bookmarkEnd w:id="92"/>
    </w:p>
    <w:p w14:paraId="57EAAF19" w14:textId="16D11EBB" w:rsidR="008A6F74" w:rsidRPr="00D72518" w:rsidRDefault="008A6F74" w:rsidP="0005071B">
      <w:pPr>
        <w:pStyle w:val="ACSCMnote2staff"/>
        <w:rPr>
          <w:color w:val="009900"/>
        </w:rPr>
      </w:pPr>
      <w:r w:rsidRPr="00BF635F">
        <w:t>See guidance on the use of management plan conditions</w:t>
      </w:r>
      <w:r w:rsidR="00BF635F">
        <w:t xml:space="preserve"> in the management plan conditions</w:t>
      </w:r>
      <w:r w:rsidRPr="00BF635F">
        <w:rPr>
          <w:color w:val="009900"/>
        </w:rPr>
        <w:t>.</w:t>
      </w:r>
    </w:p>
    <w:p w14:paraId="614C373C" w14:textId="77777777" w:rsidR="008A6F74" w:rsidRPr="00D72518" w:rsidRDefault="008A6F74" w:rsidP="0005071B">
      <w:pPr>
        <w:pStyle w:val="ACSCMnote2staff"/>
        <w:rPr>
          <w:color w:val="009900"/>
        </w:rPr>
      </w:pPr>
      <w:r w:rsidRPr="00D72518">
        <w:t xml:space="preserve">The purpose of this condition is to ensure that an AQMP is submitted for certification. This condition sets out what should be in an AQMP. It is important that management plan requirements specific to this application are incorporated into this condition. Your </w:t>
      </w:r>
      <w:r>
        <w:t xml:space="preserve">Contamination, Air and Noise </w:t>
      </w:r>
      <w:r w:rsidRPr="00D72518">
        <w:t xml:space="preserve">specialist will tell you the date to insert in the first sentence. In some cases if the site is, for example, </w:t>
      </w:r>
      <w:r>
        <w:t xml:space="preserve">is </w:t>
      </w:r>
      <w:r w:rsidRPr="00D72518">
        <w:t xml:space="preserve">very dusty and near a sensitive receptor then the AQMP will be required quickly, in other cases a large site may be being developed slowly with different parts established over time resulting in manufacturing occurring much later in the life of the consent, thus a later date for the AQMP may be acceptable. The </w:t>
      </w:r>
      <w:r>
        <w:t xml:space="preserve">Contamination, </w:t>
      </w:r>
      <w:r w:rsidRPr="00D72518">
        <w:t xml:space="preserve">Air </w:t>
      </w:r>
      <w:r>
        <w:t>and Noise</w:t>
      </w:r>
      <w:r w:rsidRPr="00D72518">
        <w:t xml:space="preserve"> Team ha</w:t>
      </w:r>
      <w:r>
        <w:t>ve</w:t>
      </w:r>
      <w:r w:rsidRPr="00D72518">
        <w:t xml:space="preserve"> some AQMP templates which can be provided to applicants who need to provide an AQMP.</w:t>
      </w:r>
    </w:p>
    <w:p w14:paraId="43EFDAE1" w14:textId="77777777" w:rsidR="008A6F74" w:rsidRPr="00277EFA" w:rsidRDefault="008A6F74" w:rsidP="0005071B">
      <w:pPr>
        <w:pStyle w:val="ACSCMconditiondivider"/>
      </w:pPr>
    </w:p>
    <w:p w14:paraId="63ACBAA9" w14:textId="77777777" w:rsidR="008A6F74" w:rsidRDefault="008A6F74" w:rsidP="0005071B">
      <w:pPr>
        <w:pStyle w:val="Heading3"/>
      </w:pPr>
      <w:bookmarkStart w:id="93" w:name="_Toc491179253"/>
      <w:r w:rsidRPr="00277EFA">
        <w:t>Condition 14: Air Quality Management Plan operation</w:t>
      </w:r>
      <w:bookmarkEnd w:id="93"/>
    </w:p>
    <w:p w14:paraId="7481C5D3" w14:textId="77777777" w:rsidR="008A6F74" w:rsidRPr="007D09CF" w:rsidRDefault="008A6F74" w:rsidP="008A6F74">
      <w:pPr>
        <w:pStyle w:val="ACConditionBodyText"/>
      </w:pPr>
      <w:r w:rsidRPr="0081519F">
        <w:t xml:space="preserve">All processes on site </w:t>
      </w:r>
      <w:r>
        <w:t>must</w:t>
      </w:r>
      <w:r w:rsidRPr="0081519F">
        <w:t xml:space="preserve"> be operated in accordance with the </w:t>
      </w:r>
      <w:r>
        <w:t>certified</w:t>
      </w:r>
      <w:r w:rsidRPr="0081519F">
        <w:t xml:space="preserve"> Air Quality Management Plan (AQMP).</w:t>
      </w:r>
    </w:p>
    <w:p w14:paraId="318F2717" w14:textId="77777777" w:rsidR="008A6F74" w:rsidRPr="00277EFA" w:rsidRDefault="008A6F74" w:rsidP="008A6F74">
      <w:pPr>
        <w:pStyle w:val="ACSCMStaffHeader"/>
        <w:rPr>
          <w:lang w:eastAsia="en-NZ"/>
        </w:rPr>
      </w:pPr>
      <w:r>
        <w:rPr>
          <w:lang w:eastAsia="en-NZ"/>
        </w:rPr>
        <w:t>Guidance Note</w:t>
      </w:r>
      <w:r w:rsidRPr="00277EFA">
        <w:rPr>
          <w:lang w:eastAsia="en-NZ"/>
        </w:rPr>
        <w:t>:</w:t>
      </w:r>
    </w:p>
    <w:p w14:paraId="0AD2295C" w14:textId="6131E7D5" w:rsidR="008A6F74" w:rsidRDefault="008A6F74" w:rsidP="00CD52EF">
      <w:pPr>
        <w:pStyle w:val="ACSCMnote2staff"/>
      </w:pPr>
      <w:r w:rsidRPr="00277EFA">
        <w:t xml:space="preserve">The purpose of this condition is to ensure that the works are carried out in accordance with the </w:t>
      </w:r>
      <w:r>
        <w:t>certified</w:t>
      </w:r>
      <w:r w:rsidRPr="00277EFA">
        <w:t xml:space="preserve"> plan. This </w:t>
      </w:r>
      <w:r>
        <w:t>AQMP</w:t>
      </w:r>
      <w:r w:rsidRPr="00277EFA">
        <w:t xml:space="preserve"> can be amended as per the condition below but there should be a single final </w:t>
      </w:r>
      <w:r>
        <w:t>certified</w:t>
      </w:r>
      <w:r w:rsidRPr="00277EFA">
        <w:t xml:space="preserve"> AQMP at all times. </w:t>
      </w:r>
      <w:r w:rsidRPr="00277EFA">
        <w:lastRenderedPageBreak/>
        <w:t>This condition should be placed on all decisions with the Air Qua</w:t>
      </w:r>
      <w:r>
        <w:t>lity Management Plan condition.</w:t>
      </w:r>
    </w:p>
    <w:p w14:paraId="5297C7E5" w14:textId="77777777" w:rsidR="00CD52EF" w:rsidRPr="00277EFA" w:rsidRDefault="00CD52EF" w:rsidP="00CD52EF">
      <w:pPr>
        <w:pStyle w:val="ACSCMconditiondivider"/>
      </w:pPr>
    </w:p>
    <w:p w14:paraId="3B896EF0" w14:textId="77777777" w:rsidR="008A6F74" w:rsidRPr="00C37434" w:rsidRDefault="008A6F74" w:rsidP="0005071B">
      <w:pPr>
        <w:pStyle w:val="Heading3"/>
      </w:pPr>
      <w:bookmarkStart w:id="94" w:name="_Toc491179254"/>
      <w:r w:rsidRPr="00C37434">
        <w:t>Condition 15: Air Quality Management Plan review</w:t>
      </w:r>
      <w:bookmarkEnd w:id="94"/>
    </w:p>
    <w:p w14:paraId="2271AFBA" w14:textId="3615286C" w:rsidR="008A6F74" w:rsidRPr="00277EFA" w:rsidRDefault="008A6F74" w:rsidP="008A6F74">
      <w:pPr>
        <w:pStyle w:val="ACConditionBodyText"/>
      </w:pPr>
      <w:r w:rsidRPr="00277EFA">
        <w:t xml:space="preserve">The Air Quality Management Plan (AQMP) </w:t>
      </w:r>
      <w:r>
        <w:t>must</w:t>
      </w:r>
      <w:r w:rsidRPr="00277EFA">
        <w:t xml:space="preserve"> be reviewed on an annual basis and any subsequent changes to the </w:t>
      </w:r>
      <w:r>
        <w:t>certified</w:t>
      </w:r>
      <w:r w:rsidRPr="00277EFA">
        <w:t xml:space="preserve"> AQMP </w:t>
      </w:r>
      <w:r>
        <w:t>must</w:t>
      </w:r>
      <w:r w:rsidRPr="00277EFA">
        <w:t xml:space="preserve"> be submitted to the </w:t>
      </w:r>
      <w:r w:rsidR="00BC5B60">
        <w:t>Council</w:t>
      </w:r>
      <w:r w:rsidRPr="00277EFA">
        <w:t xml:space="preserve"> for </w:t>
      </w:r>
      <w:r>
        <w:t>certification</w:t>
      </w:r>
      <w:r w:rsidRPr="00277EFA">
        <w:t xml:space="preserve"> prior to implementation</w:t>
      </w:r>
      <w:r w:rsidRPr="00277EFA">
        <w:rPr>
          <w:color w:val="FF0000"/>
        </w:rPr>
        <w:t>.</w:t>
      </w:r>
      <w:r w:rsidRPr="00277EFA">
        <w:t xml:space="preserve"> The </w:t>
      </w:r>
      <w:r w:rsidR="00BC5B60">
        <w:t>Council</w:t>
      </w:r>
      <w:r w:rsidRPr="00277EFA">
        <w:t xml:space="preserve"> will advise the </w:t>
      </w:r>
      <w:r w:rsidR="00BC5B60">
        <w:t>c</w:t>
      </w:r>
      <w:r w:rsidRPr="00277EFA">
        <w:t xml:space="preserve">onsent </w:t>
      </w:r>
      <w:r w:rsidR="00BC5B60">
        <w:t>h</w:t>
      </w:r>
      <w:r w:rsidRPr="00277EFA">
        <w:t>older in writing if any aspects of the AQMP are considered to be inconsistent with achieving the provisions of this consent.</w:t>
      </w:r>
    </w:p>
    <w:p w14:paraId="7E6F316F" w14:textId="77777777" w:rsidR="008A6F74" w:rsidRPr="00277EFA" w:rsidRDefault="008A6F74" w:rsidP="008A6F74">
      <w:pPr>
        <w:pStyle w:val="ACSCMStaffHeader"/>
        <w:rPr>
          <w:lang w:eastAsia="en-NZ"/>
        </w:rPr>
      </w:pPr>
      <w:r>
        <w:rPr>
          <w:lang w:eastAsia="en-NZ"/>
        </w:rPr>
        <w:t>Guidance Note</w:t>
      </w:r>
      <w:r w:rsidRPr="00277EFA">
        <w:rPr>
          <w:lang w:eastAsia="en-NZ"/>
        </w:rPr>
        <w:t>:</w:t>
      </w:r>
    </w:p>
    <w:p w14:paraId="0AC85861" w14:textId="77777777" w:rsidR="008A6F74" w:rsidRDefault="008A6F74" w:rsidP="0005071B">
      <w:pPr>
        <w:pStyle w:val="ACSCMnote2staff"/>
      </w:pPr>
      <w:r w:rsidRPr="00277EFA">
        <w:t>The purpose of this condition is to allow the AQMP to be revised periodically, for example when expansion of operations requires it to be updated. This condition should be placed on all decisions with the Air Quality Management Plan condition.</w:t>
      </w:r>
    </w:p>
    <w:p w14:paraId="1279C2DE" w14:textId="77777777" w:rsidR="002F5E44" w:rsidRDefault="002F5E44" w:rsidP="002F5E44">
      <w:pPr>
        <w:pStyle w:val="ACSCMconditiondivider"/>
      </w:pPr>
    </w:p>
    <w:p w14:paraId="054BB866" w14:textId="315C0787" w:rsidR="008A6F74" w:rsidRPr="005E0F5C" w:rsidRDefault="002F5E44" w:rsidP="002F5E44">
      <w:pPr>
        <w:pStyle w:val="Heading3"/>
      </w:pPr>
      <w:r>
        <w:t xml:space="preserve">General </w:t>
      </w:r>
      <w:r w:rsidR="008A6F74" w:rsidRPr="005E0F5C">
        <w:t xml:space="preserve">Advice </w:t>
      </w:r>
      <w:r>
        <w:t>N</w:t>
      </w:r>
      <w:r w:rsidR="008A6F74" w:rsidRPr="005E0F5C">
        <w:t xml:space="preserve">ote: </w:t>
      </w:r>
    </w:p>
    <w:p w14:paraId="75AB584C" w14:textId="73093613" w:rsidR="008A6F74" w:rsidRDefault="008A6F74" w:rsidP="002F5E44">
      <w:pPr>
        <w:pStyle w:val="ACBodyText"/>
      </w:pPr>
      <w:r w:rsidRPr="00164E3A">
        <w:rPr>
          <w:rFonts w:cs="Arial"/>
        </w:rPr>
        <w:t xml:space="preserve">All discharges of contaminants into air arising within the site boundary are the responsibility of the consent holder.  </w:t>
      </w:r>
      <w:r w:rsidRPr="00164E3A">
        <w:t>Any person responsible for operations and discharges into air associated with the process or site should be made aware of relevant conditions of this consent.</w:t>
      </w:r>
    </w:p>
    <w:p w14:paraId="436C61E7" w14:textId="77777777" w:rsidR="002F5E44" w:rsidRPr="0005071B" w:rsidRDefault="002F5E44" w:rsidP="002F5E44">
      <w:pPr>
        <w:pStyle w:val="ACSCMconditiondivider"/>
      </w:pPr>
    </w:p>
    <w:p w14:paraId="496745A2" w14:textId="43612E76" w:rsidR="008A6F74" w:rsidRPr="008054D8" w:rsidRDefault="002F5E44" w:rsidP="002F5E44">
      <w:pPr>
        <w:pStyle w:val="Heading3"/>
      </w:pPr>
      <w:r>
        <w:t xml:space="preserve">General </w:t>
      </w:r>
      <w:r w:rsidR="008A6F74" w:rsidRPr="008054D8">
        <w:t xml:space="preserve">Advice </w:t>
      </w:r>
      <w:r>
        <w:t>N</w:t>
      </w:r>
      <w:r w:rsidR="008A6F74" w:rsidRPr="008054D8">
        <w:t>ote: Correspondence</w:t>
      </w:r>
    </w:p>
    <w:p w14:paraId="780BEC94" w14:textId="0261CE9D" w:rsidR="00F27A8E" w:rsidRPr="002F5E44" w:rsidRDefault="008A6F74" w:rsidP="00CD52EF">
      <w:pPr>
        <w:ind w:left="567" w:right="907"/>
        <w:rPr>
          <w:rFonts w:eastAsiaTheme="majorEastAsia" w:cs="Arial"/>
          <w:bCs/>
          <w:iCs/>
          <w:color w:val="0563C1" w:themeColor="hyperlink"/>
          <w:sz w:val="22"/>
          <w:u w:val="single"/>
        </w:rPr>
      </w:pPr>
      <w:bookmarkStart w:id="95" w:name="_Toc417042711"/>
      <w:bookmarkStart w:id="96" w:name="_Toc417044457"/>
      <w:bookmarkStart w:id="97" w:name="_Toc417047080"/>
      <w:bookmarkStart w:id="98" w:name="_Toc419466251"/>
      <w:bookmarkStart w:id="99" w:name="_Toc421794685"/>
      <w:bookmarkStart w:id="100" w:name="_Hlk24366612"/>
      <w:r w:rsidRPr="002F5E44">
        <w:rPr>
          <w:rFonts w:eastAsiaTheme="majorEastAsia" w:cstheme="majorBidi"/>
          <w:bCs/>
          <w:iCs/>
          <w:sz w:val="22"/>
        </w:rPr>
        <w:t xml:space="preserve">All correspondence relating to air quality permits can be emailed to </w:t>
      </w:r>
      <w:bookmarkEnd w:id="95"/>
      <w:bookmarkEnd w:id="96"/>
      <w:bookmarkEnd w:id="97"/>
      <w:bookmarkEnd w:id="98"/>
      <w:bookmarkEnd w:id="99"/>
      <w:r w:rsidR="00E75704">
        <w:rPr>
          <w:rFonts w:eastAsiaTheme="majorEastAsia" w:cs="Arial"/>
          <w:bCs/>
          <w:iCs/>
          <w:color w:val="0563C1" w:themeColor="hyperlink"/>
          <w:sz w:val="22"/>
          <w:u w:val="single"/>
        </w:rPr>
        <w:fldChar w:fldCharType="begin"/>
      </w:r>
      <w:r w:rsidR="00E75704">
        <w:rPr>
          <w:rFonts w:eastAsiaTheme="majorEastAsia" w:cs="Arial"/>
          <w:bCs/>
          <w:iCs/>
          <w:color w:val="0563C1" w:themeColor="hyperlink"/>
          <w:sz w:val="22"/>
          <w:u w:val="single"/>
        </w:rPr>
        <w:instrText xml:space="preserve"> HYPERLINK "mailto:monitoring@aucklandcouncil.govt.nz" </w:instrText>
      </w:r>
      <w:r w:rsidR="00E75704">
        <w:rPr>
          <w:rFonts w:eastAsiaTheme="majorEastAsia" w:cs="Arial"/>
          <w:bCs/>
          <w:iCs/>
          <w:color w:val="0563C1" w:themeColor="hyperlink"/>
          <w:sz w:val="22"/>
          <w:u w:val="single"/>
        </w:rPr>
      </w:r>
      <w:r w:rsidR="00E75704">
        <w:rPr>
          <w:rFonts w:eastAsiaTheme="majorEastAsia" w:cs="Arial"/>
          <w:bCs/>
          <w:iCs/>
          <w:color w:val="0563C1" w:themeColor="hyperlink"/>
          <w:sz w:val="22"/>
          <w:u w:val="single"/>
        </w:rPr>
        <w:fldChar w:fldCharType="separate"/>
      </w:r>
      <w:r w:rsidRPr="00E75704">
        <w:rPr>
          <w:rStyle w:val="Hyperlink"/>
          <w:rFonts w:eastAsiaTheme="majorEastAsia" w:cs="Arial"/>
          <w:bCs/>
          <w:iCs/>
          <w:sz w:val="22"/>
        </w:rPr>
        <w:t>monitoring@aucklandcouncil.govt.nz</w:t>
      </w:r>
      <w:bookmarkEnd w:id="100"/>
      <w:r w:rsidR="00E75704">
        <w:rPr>
          <w:rFonts w:eastAsiaTheme="majorEastAsia" w:cs="Arial"/>
          <w:bCs/>
          <w:iCs/>
          <w:color w:val="0563C1" w:themeColor="hyperlink"/>
          <w:sz w:val="22"/>
          <w:u w:val="single"/>
        </w:rPr>
        <w:fldChar w:fldCharType="end"/>
      </w:r>
    </w:p>
    <w:sectPr w:rsidR="00F27A8E" w:rsidRPr="002F5E44" w:rsidSect="00BC5B6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A1CC" w14:textId="77777777" w:rsidR="0001291E" w:rsidRDefault="0001291E" w:rsidP="00C85CC0">
      <w:pPr>
        <w:spacing w:after="0" w:line="240" w:lineRule="auto"/>
      </w:pPr>
      <w:r>
        <w:separator/>
      </w:r>
    </w:p>
  </w:endnote>
  <w:endnote w:type="continuationSeparator" w:id="0">
    <w:p w14:paraId="65EC182E" w14:textId="77777777" w:rsidR="0001291E" w:rsidRDefault="0001291E" w:rsidP="00C8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42BD" w14:textId="658A9BE7" w:rsidR="00801086" w:rsidRDefault="00801086">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668285"/>
      <w:docPartObj>
        <w:docPartGallery w:val="Page Numbers (Top of Page)"/>
        <w:docPartUnique/>
      </w:docPartObj>
    </w:sdtPr>
    <w:sdtEndPr/>
    <w:sdtContent>
      <w:p w14:paraId="3CFEE49E" w14:textId="02AD474E" w:rsidR="00BC5B60" w:rsidRDefault="00BC5B60" w:rsidP="00BC5B60">
        <w:pPr>
          <w:pStyle w:val="Footer"/>
        </w:pPr>
        <w:r>
          <w:rPr>
            <w:sz w:val="22"/>
          </w:rPr>
          <w:t xml:space="preserve">Page </w:t>
        </w:r>
        <w:r>
          <w:rPr>
            <w:sz w:val="22"/>
          </w:rPr>
          <w:fldChar w:fldCharType="begin"/>
        </w:r>
        <w:r>
          <w:rPr>
            <w:sz w:val="22"/>
          </w:rPr>
          <w:instrText xml:space="preserve"> PAGE </w:instrText>
        </w:r>
        <w:r>
          <w:rPr>
            <w:sz w:val="22"/>
          </w:rPr>
          <w:fldChar w:fldCharType="separate"/>
        </w:r>
        <w:r>
          <w:rPr>
            <w:sz w:val="22"/>
          </w:rPr>
          <w:t>1</w:t>
        </w:r>
        <w:r>
          <w:rPr>
            <w:sz w:val="22"/>
          </w:rPr>
          <w:fldChar w:fldCharType="end"/>
        </w:r>
        <w:r>
          <w:rPr>
            <w:sz w:val="22"/>
          </w:rPr>
          <w:t xml:space="preserve"> of </w:t>
        </w:r>
        <w:r>
          <w:rPr>
            <w:sz w:val="22"/>
          </w:rPr>
          <w:fldChar w:fldCharType="begin"/>
        </w:r>
        <w:r>
          <w:rPr>
            <w:sz w:val="22"/>
          </w:rPr>
          <w:instrText xml:space="preserve"> NUMPAGES  </w:instrText>
        </w:r>
        <w:r>
          <w:rPr>
            <w:sz w:val="22"/>
          </w:rPr>
          <w:fldChar w:fldCharType="separate"/>
        </w:r>
        <w:r>
          <w:rPr>
            <w:sz w:val="22"/>
          </w:rPr>
          <w:t>10</w:t>
        </w:r>
        <w:r>
          <w:rPr>
            <w:sz w:val="22"/>
          </w:rPr>
          <w:fldChar w:fldCharType="end"/>
        </w:r>
        <w:r>
          <w:rPr>
            <w:sz w:val="22"/>
          </w:rPr>
          <w:tab/>
          <w:t>July 2020</w:t>
        </w:r>
        <w:r>
          <w:rPr>
            <w:sz w:val="22"/>
          </w:rPr>
          <w:tab/>
          <w:t>RC 5.2.1 (V2)</w:t>
        </w:r>
      </w:p>
    </w:sdtContent>
  </w:sdt>
  <w:p w14:paraId="4CADB8B6" w14:textId="587F392B" w:rsidR="001A3DEB" w:rsidRPr="00BC5B60" w:rsidRDefault="001A3DEB" w:rsidP="00BC5B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238520"/>
      <w:docPartObj>
        <w:docPartGallery w:val="Page Numbers (Top of Page)"/>
        <w:docPartUnique/>
      </w:docPartObj>
    </w:sdtPr>
    <w:sdtEndPr/>
    <w:sdtContent>
      <w:p w14:paraId="4D497983" w14:textId="6F2B6BA5" w:rsidR="00BC5B60" w:rsidRDefault="00BC5B60" w:rsidP="00BC5B60">
        <w:pPr>
          <w:pStyle w:val="Footer"/>
        </w:pPr>
        <w:r>
          <w:rPr>
            <w:sz w:val="22"/>
          </w:rPr>
          <w:t xml:space="preserve">Page </w:t>
        </w:r>
        <w:r>
          <w:rPr>
            <w:sz w:val="22"/>
          </w:rPr>
          <w:fldChar w:fldCharType="begin"/>
        </w:r>
        <w:r>
          <w:rPr>
            <w:sz w:val="22"/>
          </w:rPr>
          <w:instrText xml:space="preserve"> PAGE </w:instrText>
        </w:r>
        <w:r>
          <w:rPr>
            <w:sz w:val="22"/>
          </w:rPr>
          <w:fldChar w:fldCharType="separate"/>
        </w:r>
        <w:r>
          <w:rPr>
            <w:sz w:val="22"/>
          </w:rPr>
          <w:t>1</w:t>
        </w:r>
        <w:r>
          <w:rPr>
            <w:sz w:val="22"/>
          </w:rPr>
          <w:fldChar w:fldCharType="end"/>
        </w:r>
        <w:r>
          <w:rPr>
            <w:sz w:val="22"/>
          </w:rPr>
          <w:t xml:space="preserve"> of </w:t>
        </w:r>
        <w:r>
          <w:rPr>
            <w:sz w:val="22"/>
          </w:rPr>
          <w:fldChar w:fldCharType="begin"/>
        </w:r>
        <w:r>
          <w:rPr>
            <w:sz w:val="22"/>
          </w:rPr>
          <w:instrText xml:space="preserve"> NUMPAGES  </w:instrText>
        </w:r>
        <w:r>
          <w:rPr>
            <w:sz w:val="22"/>
          </w:rPr>
          <w:fldChar w:fldCharType="separate"/>
        </w:r>
        <w:r>
          <w:rPr>
            <w:sz w:val="22"/>
          </w:rPr>
          <w:t>10</w:t>
        </w:r>
        <w:r>
          <w:rPr>
            <w:sz w:val="22"/>
          </w:rPr>
          <w:fldChar w:fldCharType="end"/>
        </w:r>
        <w:r>
          <w:rPr>
            <w:sz w:val="22"/>
          </w:rPr>
          <w:tab/>
          <w:t>July 2020</w:t>
        </w:r>
        <w:r>
          <w:rPr>
            <w:sz w:val="22"/>
          </w:rPr>
          <w:tab/>
          <w:t>RC 5.2.1 (V2)</w:t>
        </w:r>
      </w:p>
    </w:sdtContent>
  </w:sdt>
  <w:p w14:paraId="1CBC697E" w14:textId="3AE70F79" w:rsidR="00820245" w:rsidRPr="00BC5B60" w:rsidRDefault="00820245" w:rsidP="00BC5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9A8E" w14:textId="77777777" w:rsidR="0001291E" w:rsidRPr="000A7727" w:rsidRDefault="0001291E" w:rsidP="00C85CC0">
      <w:pPr>
        <w:spacing w:after="0" w:line="240" w:lineRule="auto"/>
        <w:rPr>
          <w:color w:val="008AC4"/>
        </w:rPr>
      </w:pPr>
      <w:r w:rsidRPr="000A7727">
        <w:rPr>
          <w:color w:val="008AC4"/>
        </w:rPr>
        <w:separator/>
      </w:r>
    </w:p>
  </w:footnote>
  <w:footnote w:type="continuationSeparator" w:id="0">
    <w:p w14:paraId="4BD3632A" w14:textId="77777777" w:rsidR="0001291E" w:rsidRDefault="0001291E" w:rsidP="00C85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185A" w14:textId="77777777" w:rsidR="00BC5B60" w:rsidRDefault="00BC5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07C2" w14:textId="77777777" w:rsidR="00BC5B60" w:rsidRDefault="00BC5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A628" w14:textId="77777777" w:rsidR="00BC5B60" w:rsidRDefault="00BC5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B2160A"/>
    <w:lvl w:ilvl="0">
      <w:start w:val="1"/>
      <w:numFmt w:val="decimal"/>
      <w:lvlText w:val="%1."/>
      <w:lvlJc w:val="left"/>
      <w:pPr>
        <w:tabs>
          <w:tab w:val="num" w:pos="641"/>
        </w:tabs>
        <w:ind w:left="641" w:hanging="360"/>
      </w:pPr>
    </w:lvl>
  </w:abstractNum>
  <w:abstractNum w:abstractNumId="1" w15:restartNumberingAfterBreak="0">
    <w:nsid w:val="FFFFFF7D"/>
    <w:multiLevelType w:val="singleLevel"/>
    <w:tmpl w:val="D35A9E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8233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8448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6E74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1A46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6496A"/>
    <w:lvl w:ilvl="0">
      <w:start w:val="1"/>
      <w:numFmt w:val="bullet"/>
      <w:lvlText w:val=""/>
      <w:lvlJc w:val="left"/>
      <w:pPr>
        <w:ind w:left="926" w:hanging="360"/>
      </w:pPr>
      <w:rPr>
        <w:rFonts w:ascii="Symbol" w:hAnsi="Symbol" w:hint="default"/>
        <w:color w:val="008AC4"/>
      </w:rPr>
    </w:lvl>
  </w:abstractNum>
  <w:abstractNum w:abstractNumId="7" w15:restartNumberingAfterBreak="0">
    <w:nsid w:val="FFFFFF83"/>
    <w:multiLevelType w:val="singleLevel"/>
    <w:tmpl w:val="501EF4B2"/>
    <w:lvl w:ilvl="0">
      <w:start w:val="1"/>
      <w:numFmt w:val="bullet"/>
      <w:lvlText w:val="o"/>
      <w:lvlJc w:val="left"/>
      <w:pPr>
        <w:ind w:left="814" w:hanging="360"/>
      </w:pPr>
      <w:rPr>
        <w:rFonts w:ascii="Courier New" w:hAnsi="Courier New" w:hint="default"/>
        <w:color w:val="008AC4"/>
      </w:rPr>
    </w:lvl>
  </w:abstractNum>
  <w:abstractNum w:abstractNumId="8" w15:restartNumberingAfterBreak="0">
    <w:nsid w:val="FFFFFF88"/>
    <w:multiLevelType w:val="singleLevel"/>
    <w:tmpl w:val="106A1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14746A"/>
    <w:lvl w:ilvl="0">
      <w:start w:val="1"/>
      <w:numFmt w:val="bullet"/>
      <w:lvlText w:val=""/>
      <w:lvlJc w:val="left"/>
      <w:pPr>
        <w:ind w:left="587" w:hanging="360"/>
      </w:pPr>
      <w:rPr>
        <w:rFonts w:ascii="Symbol" w:hAnsi="Symbol" w:hint="default"/>
        <w:color w:val="008AC4"/>
      </w:rPr>
    </w:lvl>
  </w:abstractNum>
  <w:abstractNum w:abstractNumId="10" w15:restartNumberingAfterBreak="0">
    <w:nsid w:val="00FB5CFE"/>
    <w:multiLevelType w:val="multilevel"/>
    <w:tmpl w:val="A162A8F6"/>
    <w:lvl w:ilvl="0">
      <w:start w:val="1"/>
      <w:numFmt w:val="bullet"/>
      <w:lvlText w:val="-"/>
      <w:lvlJc w:val="left"/>
      <w:pPr>
        <w:tabs>
          <w:tab w:val="num" w:pos="397"/>
        </w:tabs>
        <w:ind w:left="397" w:hanging="397"/>
      </w:pPr>
      <w:rPr>
        <w:rFonts w:ascii="Gill Sans MT" w:hAnsi="Gill Sans MT"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11" w15:restartNumberingAfterBreak="0">
    <w:nsid w:val="01304E05"/>
    <w:multiLevelType w:val="multilevel"/>
    <w:tmpl w:val="153AB6F6"/>
    <w:lvl w:ilvl="0">
      <w:start w:val="1"/>
      <w:numFmt w:val="decimal"/>
      <w:lvlRestart w:val="0"/>
      <w:pStyle w:val="ListNumber"/>
      <w:lvlText w:val="%1."/>
      <w:lvlJc w:val="left"/>
      <w:pPr>
        <w:tabs>
          <w:tab w:val="num" w:pos="964"/>
        </w:tabs>
        <w:ind w:left="397" w:hanging="397"/>
      </w:pPr>
      <w:rPr>
        <w:rFonts w:ascii="Arial" w:hAnsi="Arial" w:cs="Arial" w:hint="default"/>
        <w:b w:val="0"/>
        <w:i w:val="0"/>
        <w:sz w:val="22"/>
        <w:szCs w:val="22"/>
      </w:rPr>
    </w:lvl>
    <w:lvl w:ilvl="1">
      <w:start w:val="1"/>
      <w:numFmt w:val="lowerLetter"/>
      <w:pStyle w:val="ListNumber2"/>
      <w:lvlText w:val="%1.%2"/>
      <w:lvlJc w:val="left"/>
      <w:pPr>
        <w:tabs>
          <w:tab w:val="num" w:pos="1531"/>
        </w:tabs>
        <w:ind w:left="964" w:hanging="567"/>
      </w:pPr>
      <w:rPr>
        <w:rFonts w:ascii="Arial" w:hAnsi="Arial" w:cs="Arial" w:hint="default"/>
        <w:b w:val="0"/>
        <w:i w:val="0"/>
        <w:sz w:val="24"/>
        <w:szCs w:val="24"/>
      </w:rPr>
    </w:lvl>
    <w:lvl w:ilvl="2">
      <w:start w:val="1"/>
      <w:numFmt w:val="lowerRoman"/>
      <w:pStyle w:val="ListNumber3"/>
      <w:lvlText w:val="%1.%2.%3"/>
      <w:lvlJc w:val="left"/>
      <w:pPr>
        <w:tabs>
          <w:tab w:val="num" w:pos="2268"/>
        </w:tabs>
        <w:ind w:left="1701" w:hanging="737"/>
      </w:pPr>
      <w:rPr>
        <w:rFonts w:ascii="Arial" w:hAnsi="Arial" w:cs="Arial" w:hint="default"/>
        <w:b w:val="0"/>
        <w:i w:val="0"/>
        <w:sz w:val="24"/>
        <w:szCs w:val="24"/>
      </w:rPr>
    </w:lvl>
    <w:lvl w:ilvl="3">
      <w:start w:val="1"/>
      <w:numFmt w:val="decimal"/>
      <w:pStyle w:val="ListNumber4"/>
      <w:lvlText w:val="%1.%2.%3.%4."/>
      <w:lvlJc w:val="left"/>
      <w:pPr>
        <w:tabs>
          <w:tab w:val="num" w:pos="3175"/>
        </w:tabs>
        <w:ind w:left="2608" w:hanging="907"/>
      </w:pPr>
      <w:rPr>
        <w:rFonts w:ascii="Arial" w:hAnsi="Arial" w:cs="Arial" w:hint="default"/>
        <w:b w:val="0"/>
        <w:i w:val="0"/>
        <w:sz w:val="20"/>
        <w:szCs w:val="22"/>
      </w:rPr>
    </w:lvl>
    <w:lvl w:ilvl="4">
      <w:start w:val="1"/>
      <w:numFmt w:val="decimal"/>
      <w:pStyle w:val="ListNumber5"/>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2" w15:restartNumberingAfterBreak="0">
    <w:nsid w:val="03964A76"/>
    <w:multiLevelType w:val="multilevel"/>
    <w:tmpl w:val="921E0DEA"/>
    <w:lvl w:ilvl="0">
      <w:start w:val="1"/>
      <w:numFmt w:val="bullet"/>
      <w:lvlText w:val=""/>
      <w:lvlJc w:val="left"/>
      <w:pPr>
        <w:tabs>
          <w:tab w:val="num" w:pos="397"/>
        </w:tabs>
        <w:ind w:left="397" w:hanging="397"/>
      </w:pPr>
      <w:rPr>
        <w:rFonts w:ascii="Symbol" w:hAnsi="Symbol"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13" w15:restartNumberingAfterBreak="0">
    <w:nsid w:val="0F072130"/>
    <w:multiLevelType w:val="multilevel"/>
    <w:tmpl w:val="ED183CA0"/>
    <w:lvl w:ilvl="0">
      <w:start w:val="1"/>
      <w:numFmt w:val="lowerLetter"/>
      <w:lvlText w:val="%1."/>
      <w:lvlJc w:val="left"/>
      <w:pPr>
        <w:tabs>
          <w:tab w:val="num" w:pos="964"/>
        </w:tabs>
        <w:ind w:left="397" w:hanging="397"/>
      </w:pPr>
      <w:rPr>
        <w:rFonts w:hint="default"/>
        <w:b w:val="0"/>
        <w:i w:val="0"/>
        <w:sz w:val="24"/>
        <w:szCs w:val="24"/>
      </w:rPr>
    </w:lvl>
    <w:lvl w:ilvl="1">
      <w:start w:val="1"/>
      <w:numFmt w:val="lowerLetter"/>
      <w:lvlText w:val="%1.%2"/>
      <w:lvlJc w:val="left"/>
      <w:pPr>
        <w:tabs>
          <w:tab w:val="num" w:pos="1531"/>
        </w:tabs>
        <w:ind w:left="964" w:hanging="567"/>
      </w:pPr>
      <w:rPr>
        <w:rFonts w:ascii="Arial" w:hAnsi="Arial" w:cs="Arial" w:hint="default"/>
        <w:b w:val="0"/>
        <w:i w:val="0"/>
        <w:sz w:val="24"/>
        <w:szCs w:val="24"/>
      </w:rPr>
    </w:lvl>
    <w:lvl w:ilvl="2">
      <w:start w:val="1"/>
      <w:numFmt w:val="lowerRoman"/>
      <w:lvlText w:val="%1.%2.%3"/>
      <w:lvlJc w:val="left"/>
      <w:pPr>
        <w:tabs>
          <w:tab w:val="num" w:pos="2268"/>
        </w:tabs>
        <w:ind w:left="1701" w:hanging="737"/>
      </w:pPr>
      <w:rPr>
        <w:rFonts w:ascii="Arial" w:hAnsi="Arial" w:cs="Arial" w:hint="default"/>
        <w:b w:val="0"/>
        <w:i w:val="0"/>
        <w:sz w:val="24"/>
        <w:szCs w:val="24"/>
      </w:rPr>
    </w:lvl>
    <w:lvl w:ilvl="3">
      <w:start w:val="1"/>
      <w:numFmt w:val="decimal"/>
      <w:lvlText w:val="%1.%2.%3.%4."/>
      <w:lvlJc w:val="left"/>
      <w:pPr>
        <w:tabs>
          <w:tab w:val="num" w:pos="3175"/>
        </w:tabs>
        <w:ind w:left="2608" w:hanging="907"/>
      </w:pPr>
      <w:rPr>
        <w:rFonts w:ascii="Arial" w:hAnsi="Arial" w:cs="Arial" w:hint="default"/>
        <w:b w:val="0"/>
        <w:i w:val="0"/>
        <w:sz w:val="20"/>
        <w:szCs w:val="22"/>
      </w:rPr>
    </w:lvl>
    <w:lvl w:ilvl="4">
      <w:start w:val="1"/>
      <w:numFmt w:val="decimal"/>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4" w15:restartNumberingAfterBreak="0">
    <w:nsid w:val="1211437F"/>
    <w:multiLevelType w:val="hybridMultilevel"/>
    <w:tmpl w:val="42A08054"/>
    <w:lvl w:ilvl="0" w:tplc="1409000F">
      <w:start w:val="1"/>
      <w:numFmt w:val="decimal"/>
      <w:lvlText w:val="%1."/>
      <w:lvlJc w:val="left"/>
      <w:pPr>
        <w:ind w:left="-351" w:hanging="360"/>
      </w:pPr>
    </w:lvl>
    <w:lvl w:ilvl="1" w:tplc="14090019">
      <w:start w:val="1"/>
      <w:numFmt w:val="lowerLetter"/>
      <w:lvlText w:val="%2."/>
      <w:lvlJc w:val="left"/>
      <w:pPr>
        <w:ind w:left="369" w:hanging="360"/>
      </w:pPr>
    </w:lvl>
    <w:lvl w:ilvl="2" w:tplc="1409001B">
      <w:start w:val="1"/>
      <w:numFmt w:val="lowerRoman"/>
      <w:lvlText w:val="%3."/>
      <w:lvlJc w:val="right"/>
      <w:pPr>
        <w:ind w:left="1089" w:hanging="180"/>
      </w:pPr>
    </w:lvl>
    <w:lvl w:ilvl="3" w:tplc="1409000F">
      <w:start w:val="1"/>
      <w:numFmt w:val="decimal"/>
      <w:lvlText w:val="%4."/>
      <w:lvlJc w:val="left"/>
      <w:pPr>
        <w:ind w:left="1809" w:hanging="360"/>
      </w:pPr>
    </w:lvl>
    <w:lvl w:ilvl="4" w:tplc="14090019">
      <w:start w:val="1"/>
      <w:numFmt w:val="lowerLetter"/>
      <w:lvlText w:val="%5."/>
      <w:lvlJc w:val="left"/>
      <w:pPr>
        <w:ind w:left="2529" w:hanging="360"/>
      </w:pPr>
    </w:lvl>
    <w:lvl w:ilvl="5" w:tplc="1409001B">
      <w:start w:val="1"/>
      <w:numFmt w:val="lowerRoman"/>
      <w:lvlText w:val="%6."/>
      <w:lvlJc w:val="right"/>
      <w:pPr>
        <w:ind w:left="3249" w:hanging="180"/>
      </w:pPr>
    </w:lvl>
    <w:lvl w:ilvl="6" w:tplc="1409000F">
      <w:start w:val="1"/>
      <w:numFmt w:val="decimal"/>
      <w:lvlText w:val="%7."/>
      <w:lvlJc w:val="left"/>
      <w:pPr>
        <w:ind w:left="3969" w:hanging="360"/>
      </w:pPr>
    </w:lvl>
    <w:lvl w:ilvl="7" w:tplc="14090019">
      <w:start w:val="1"/>
      <w:numFmt w:val="lowerLetter"/>
      <w:lvlText w:val="%8."/>
      <w:lvlJc w:val="left"/>
      <w:pPr>
        <w:ind w:left="4689" w:hanging="360"/>
      </w:pPr>
    </w:lvl>
    <w:lvl w:ilvl="8" w:tplc="1409001B">
      <w:start w:val="1"/>
      <w:numFmt w:val="lowerRoman"/>
      <w:lvlText w:val="%9."/>
      <w:lvlJc w:val="right"/>
      <w:pPr>
        <w:ind w:left="5409" w:hanging="180"/>
      </w:pPr>
    </w:lvl>
  </w:abstractNum>
  <w:abstractNum w:abstractNumId="15" w15:restartNumberingAfterBreak="0">
    <w:nsid w:val="12904893"/>
    <w:multiLevelType w:val="multilevel"/>
    <w:tmpl w:val="FE965040"/>
    <w:styleLink w:val="ACBodyNumbers1"/>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6"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17" w15:restartNumberingAfterBreak="0">
    <w:nsid w:val="18176262"/>
    <w:multiLevelType w:val="multilevel"/>
    <w:tmpl w:val="5A1A2C60"/>
    <w:lvl w:ilvl="0">
      <w:start w:val="1"/>
      <w:numFmt w:val="decimal"/>
      <w:pStyle w:val="Heading1"/>
      <w:lvlText w:val="%1"/>
      <w:lvlJc w:val="left"/>
      <w:pPr>
        <w:ind w:left="1283" w:hanging="432"/>
      </w:pPr>
      <w:rPr>
        <w:sz w:val="32"/>
        <w:szCs w:val="32"/>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1D8F1B2D"/>
    <w:multiLevelType w:val="hybridMultilevel"/>
    <w:tmpl w:val="A73C397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9" w15:restartNumberingAfterBreak="0">
    <w:nsid w:val="1E973859"/>
    <w:multiLevelType w:val="hybridMultilevel"/>
    <w:tmpl w:val="EB8ACB3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1F9F44C1"/>
    <w:multiLevelType w:val="hybridMultilevel"/>
    <w:tmpl w:val="20CA71AC"/>
    <w:lvl w:ilvl="0" w:tplc="FFFFFFFF">
      <w:numFmt w:val="bullet"/>
      <w:lvlText w:val="-"/>
      <w:lvlJc w:val="left"/>
      <w:pPr>
        <w:ind w:left="509" w:hanging="397"/>
      </w:pPr>
      <w:rPr>
        <w:rFonts w:ascii="Gill Sans MT" w:hAnsi="Gill Sans MT" w:hint="default"/>
        <w:color w:val="1593C9"/>
        <w:w w:val="100"/>
        <w:sz w:val="22"/>
        <w:szCs w:val="22"/>
        <w:lang w:val="en-NZ" w:eastAsia="en-NZ" w:bidi="en-NZ"/>
      </w:rPr>
    </w:lvl>
    <w:lvl w:ilvl="1" w:tplc="3A82E660">
      <w:numFmt w:val="bullet"/>
      <w:lvlText w:val=""/>
      <w:lvlJc w:val="left"/>
      <w:pPr>
        <w:ind w:left="816" w:hanging="396"/>
      </w:pPr>
      <w:rPr>
        <w:rFonts w:ascii="Symbol" w:hAnsi="Symbol" w:hint="default"/>
        <w:color w:val="auto"/>
        <w:w w:val="100"/>
        <w:sz w:val="22"/>
        <w:szCs w:val="22"/>
        <w:lang w:val="en-NZ" w:eastAsia="en-NZ" w:bidi="en-NZ"/>
      </w:rPr>
    </w:lvl>
    <w:lvl w:ilvl="2" w:tplc="DFDC8EFE">
      <w:numFmt w:val="bullet"/>
      <w:lvlText w:val="•"/>
      <w:lvlJc w:val="left"/>
      <w:pPr>
        <w:ind w:left="1280" w:hanging="396"/>
      </w:pPr>
      <w:rPr>
        <w:rFonts w:hint="default"/>
        <w:lang w:val="en-NZ" w:eastAsia="en-NZ" w:bidi="en-NZ"/>
      </w:rPr>
    </w:lvl>
    <w:lvl w:ilvl="3" w:tplc="1FC88AB2">
      <w:numFmt w:val="bullet"/>
      <w:lvlText w:val="•"/>
      <w:lvlJc w:val="left"/>
      <w:pPr>
        <w:ind w:left="2353" w:hanging="396"/>
      </w:pPr>
      <w:rPr>
        <w:rFonts w:hint="default"/>
        <w:lang w:val="en-NZ" w:eastAsia="en-NZ" w:bidi="en-NZ"/>
      </w:rPr>
    </w:lvl>
    <w:lvl w:ilvl="4" w:tplc="5E149CB2">
      <w:numFmt w:val="bullet"/>
      <w:lvlText w:val="•"/>
      <w:lvlJc w:val="left"/>
      <w:pPr>
        <w:ind w:left="3426" w:hanging="396"/>
      </w:pPr>
      <w:rPr>
        <w:rFonts w:hint="default"/>
        <w:lang w:val="en-NZ" w:eastAsia="en-NZ" w:bidi="en-NZ"/>
      </w:rPr>
    </w:lvl>
    <w:lvl w:ilvl="5" w:tplc="F39EBFCE">
      <w:numFmt w:val="bullet"/>
      <w:lvlText w:val="•"/>
      <w:lvlJc w:val="left"/>
      <w:pPr>
        <w:ind w:left="4499" w:hanging="396"/>
      </w:pPr>
      <w:rPr>
        <w:rFonts w:hint="default"/>
        <w:lang w:val="en-NZ" w:eastAsia="en-NZ" w:bidi="en-NZ"/>
      </w:rPr>
    </w:lvl>
    <w:lvl w:ilvl="6" w:tplc="BB7C3E48">
      <w:numFmt w:val="bullet"/>
      <w:lvlText w:val="•"/>
      <w:lvlJc w:val="left"/>
      <w:pPr>
        <w:ind w:left="5573" w:hanging="396"/>
      </w:pPr>
      <w:rPr>
        <w:rFonts w:hint="default"/>
        <w:lang w:val="en-NZ" w:eastAsia="en-NZ" w:bidi="en-NZ"/>
      </w:rPr>
    </w:lvl>
    <w:lvl w:ilvl="7" w:tplc="BACCBDB8">
      <w:numFmt w:val="bullet"/>
      <w:lvlText w:val="•"/>
      <w:lvlJc w:val="left"/>
      <w:pPr>
        <w:ind w:left="6646" w:hanging="396"/>
      </w:pPr>
      <w:rPr>
        <w:rFonts w:hint="default"/>
        <w:lang w:val="en-NZ" w:eastAsia="en-NZ" w:bidi="en-NZ"/>
      </w:rPr>
    </w:lvl>
    <w:lvl w:ilvl="8" w:tplc="AFC255EE">
      <w:numFmt w:val="bullet"/>
      <w:lvlText w:val="•"/>
      <w:lvlJc w:val="left"/>
      <w:pPr>
        <w:ind w:left="7719" w:hanging="396"/>
      </w:pPr>
      <w:rPr>
        <w:rFonts w:hint="default"/>
        <w:lang w:val="en-NZ" w:eastAsia="en-NZ" w:bidi="en-NZ"/>
      </w:rPr>
    </w:lvl>
  </w:abstractNum>
  <w:abstractNum w:abstractNumId="21" w15:restartNumberingAfterBreak="0">
    <w:nsid w:val="24202AD3"/>
    <w:multiLevelType w:val="hybridMultilevel"/>
    <w:tmpl w:val="286052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244811F6"/>
    <w:multiLevelType w:val="hybridMultilevel"/>
    <w:tmpl w:val="5958ED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2CE22068"/>
    <w:multiLevelType w:val="multilevel"/>
    <w:tmpl w:val="F894F91A"/>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654ED8"/>
    <w:multiLevelType w:val="multilevel"/>
    <w:tmpl w:val="E5F0D766"/>
    <w:lvl w:ilvl="0">
      <w:start w:val="1"/>
      <w:numFmt w:val="lowerLetter"/>
      <w:lvlText w:val="%1)"/>
      <w:lvlJc w:val="left"/>
      <w:pPr>
        <w:tabs>
          <w:tab w:val="num" w:pos="964"/>
        </w:tabs>
        <w:ind w:left="397" w:hanging="397"/>
      </w:pPr>
      <w:rPr>
        <w:rFonts w:hint="default"/>
        <w:b w:val="0"/>
        <w:i w:val="0"/>
        <w:sz w:val="24"/>
        <w:szCs w:val="24"/>
      </w:rPr>
    </w:lvl>
    <w:lvl w:ilvl="1">
      <w:start w:val="1"/>
      <w:numFmt w:val="lowerLetter"/>
      <w:lvlText w:val="%1.%2"/>
      <w:lvlJc w:val="left"/>
      <w:pPr>
        <w:tabs>
          <w:tab w:val="num" w:pos="1531"/>
        </w:tabs>
        <w:ind w:left="964" w:hanging="567"/>
      </w:pPr>
      <w:rPr>
        <w:rFonts w:ascii="Arial" w:hAnsi="Arial" w:cs="Arial" w:hint="default"/>
        <w:b w:val="0"/>
        <w:i w:val="0"/>
        <w:sz w:val="24"/>
        <w:szCs w:val="24"/>
      </w:rPr>
    </w:lvl>
    <w:lvl w:ilvl="2">
      <w:start w:val="1"/>
      <w:numFmt w:val="lowerRoman"/>
      <w:lvlText w:val="%1.%2.%3"/>
      <w:lvlJc w:val="left"/>
      <w:pPr>
        <w:tabs>
          <w:tab w:val="num" w:pos="2268"/>
        </w:tabs>
        <w:ind w:left="1701" w:hanging="737"/>
      </w:pPr>
      <w:rPr>
        <w:rFonts w:ascii="Arial" w:hAnsi="Arial" w:cs="Arial" w:hint="default"/>
        <w:b w:val="0"/>
        <w:i w:val="0"/>
        <w:sz w:val="24"/>
        <w:szCs w:val="24"/>
      </w:rPr>
    </w:lvl>
    <w:lvl w:ilvl="3">
      <w:start w:val="1"/>
      <w:numFmt w:val="decimal"/>
      <w:lvlText w:val="%1.%2.%3.%4."/>
      <w:lvlJc w:val="left"/>
      <w:pPr>
        <w:tabs>
          <w:tab w:val="num" w:pos="3175"/>
        </w:tabs>
        <w:ind w:left="2608" w:hanging="907"/>
      </w:pPr>
      <w:rPr>
        <w:rFonts w:ascii="Arial" w:hAnsi="Arial" w:cs="Arial" w:hint="default"/>
        <w:b w:val="0"/>
        <w:i w:val="0"/>
        <w:sz w:val="20"/>
        <w:szCs w:val="22"/>
      </w:rPr>
    </w:lvl>
    <w:lvl w:ilvl="4">
      <w:start w:val="1"/>
      <w:numFmt w:val="decimal"/>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25" w15:restartNumberingAfterBreak="0">
    <w:nsid w:val="423A5E9A"/>
    <w:multiLevelType w:val="multilevel"/>
    <w:tmpl w:val="22964AD4"/>
    <w:lvl w:ilvl="0">
      <w:start w:val="1"/>
      <w:numFmt w:val="bullet"/>
      <w:lvlRestart w:val="0"/>
      <w:lvlText w:val=""/>
      <w:lvlJc w:val="left"/>
      <w:pPr>
        <w:tabs>
          <w:tab w:val="num" w:pos="397"/>
        </w:tabs>
        <w:ind w:left="397" w:hanging="397"/>
      </w:pPr>
      <w:rPr>
        <w:rFonts w:ascii="Symbol" w:hAnsi="Symbol"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26" w15:restartNumberingAfterBreak="0">
    <w:nsid w:val="4E6E1A76"/>
    <w:multiLevelType w:val="hybridMultilevel"/>
    <w:tmpl w:val="279AC2AE"/>
    <w:lvl w:ilvl="0" w:tplc="3E362A9C">
      <w:start w:val="1"/>
      <w:numFmt w:val="bullet"/>
      <w:pStyle w:val="ListTickintrobox"/>
      <w:lvlText w:val=""/>
      <w:lvlJc w:val="left"/>
      <w:pPr>
        <w:ind w:left="720" w:hanging="360"/>
      </w:pPr>
      <w:rPr>
        <w:rFonts w:ascii="Wingdings" w:hAnsi="Wingdings" w:hint="default"/>
        <w:color w:val="00008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5F255DB5"/>
    <w:multiLevelType w:val="hybridMultilevel"/>
    <w:tmpl w:val="605AB82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8" w15:restartNumberingAfterBreak="0">
    <w:nsid w:val="64514E26"/>
    <w:multiLevelType w:val="hybridMultilevel"/>
    <w:tmpl w:val="92E266E0"/>
    <w:lvl w:ilvl="0" w:tplc="EA8CB74E">
      <w:start w:val="1"/>
      <w:numFmt w:val="bullet"/>
      <w:pStyle w:val="CalloutBullet"/>
      <w:lvlText w:val=""/>
      <w:lvlJc w:val="left"/>
      <w:pPr>
        <w:ind w:left="862" w:hanging="360"/>
      </w:pPr>
      <w:rPr>
        <w:rFonts w:ascii="Symbol" w:hAnsi="Symbol" w:hint="default"/>
        <w:color w:val="FFFFFF" w:themeColor="background1"/>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9" w15:restartNumberingAfterBreak="0">
    <w:nsid w:val="666A3313"/>
    <w:multiLevelType w:val="hybridMultilevel"/>
    <w:tmpl w:val="1CAC71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75964C4D"/>
    <w:multiLevelType w:val="multilevel"/>
    <w:tmpl w:val="12E4137E"/>
    <w:styleLink w:val="ACBodyNumbers11"/>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C743D43"/>
    <w:multiLevelType w:val="hybridMultilevel"/>
    <w:tmpl w:val="8F96D3D4"/>
    <w:lvl w:ilvl="0" w:tplc="2D7668C8">
      <w:start w:val="1"/>
      <w:numFmt w:val="decimal"/>
      <w:lvlText w:val="%1."/>
      <w:lvlJc w:val="left"/>
      <w:pPr>
        <w:ind w:left="720" w:hanging="360"/>
      </w:pPr>
      <w:rPr>
        <w:b/>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822358490">
    <w:abstractNumId w:val="9"/>
  </w:num>
  <w:num w:numId="2" w16cid:durableId="393745359">
    <w:abstractNumId w:val="7"/>
  </w:num>
  <w:num w:numId="3" w16cid:durableId="566766360">
    <w:abstractNumId w:val="6"/>
  </w:num>
  <w:num w:numId="4" w16cid:durableId="570584530">
    <w:abstractNumId w:val="17"/>
  </w:num>
  <w:num w:numId="5" w16cid:durableId="567351438">
    <w:abstractNumId w:val="16"/>
  </w:num>
  <w:num w:numId="6" w16cid:durableId="485442310">
    <w:abstractNumId w:val="16"/>
  </w:num>
  <w:num w:numId="7" w16cid:durableId="916980742">
    <w:abstractNumId w:val="16"/>
  </w:num>
  <w:num w:numId="8" w16cid:durableId="154541765">
    <w:abstractNumId w:val="5"/>
  </w:num>
  <w:num w:numId="9" w16cid:durableId="1983347340">
    <w:abstractNumId w:val="16"/>
  </w:num>
  <w:num w:numId="10" w16cid:durableId="1455714005">
    <w:abstractNumId w:val="4"/>
  </w:num>
  <w:num w:numId="11" w16cid:durableId="413236596">
    <w:abstractNumId w:val="16"/>
  </w:num>
  <w:num w:numId="12" w16cid:durableId="233319890">
    <w:abstractNumId w:val="8"/>
  </w:num>
  <w:num w:numId="13" w16cid:durableId="2070953643">
    <w:abstractNumId w:val="11"/>
  </w:num>
  <w:num w:numId="14" w16cid:durableId="856432150">
    <w:abstractNumId w:val="3"/>
  </w:num>
  <w:num w:numId="15" w16cid:durableId="926496849">
    <w:abstractNumId w:val="11"/>
  </w:num>
  <w:num w:numId="16" w16cid:durableId="1866750896">
    <w:abstractNumId w:val="2"/>
  </w:num>
  <w:num w:numId="17" w16cid:durableId="1668702367">
    <w:abstractNumId w:val="11"/>
  </w:num>
  <w:num w:numId="18" w16cid:durableId="1448310875">
    <w:abstractNumId w:val="1"/>
  </w:num>
  <w:num w:numId="19" w16cid:durableId="1373379092">
    <w:abstractNumId w:val="11"/>
  </w:num>
  <w:num w:numId="20" w16cid:durableId="490340755">
    <w:abstractNumId w:val="0"/>
  </w:num>
  <w:num w:numId="21" w16cid:durableId="1003581009">
    <w:abstractNumId w:val="11"/>
  </w:num>
  <w:num w:numId="22" w16cid:durableId="15858439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9941887">
    <w:abstractNumId w:val="17"/>
  </w:num>
  <w:num w:numId="24" w16cid:durableId="616453508">
    <w:abstractNumId w:val="28"/>
  </w:num>
  <w:num w:numId="25" w16cid:durableId="7366404">
    <w:abstractNumId w:val="26"/>
  </w:num>
  <w:num w:numId="26" w16cid:durableId="798884089">
    <w:abstractNumId w:val="27"/>
  </w:num>
  <w:num w:numId="27" w16cid:durableId="10570518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42941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096860">
    <w:abstractNumId w:val="29"/>
  </w:num>
  <w:num w:numId="30" w16cid:durableId="1087461447">
    <w:abstractNumId w:val="22"/>
  </w:num>
  <w:num w:numId="31" w16cid:durableId="204493175">
    <w:abstractNumId w:val="21"/>
  </w:num>
  <w:num w:numId="32" w16cid:durableId="4106579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0683497">
    <w:abstractNumId w:val="21"/>
  </w:num>
  <w:num w:numId="34" w16cid:durableId="1384719770">
    <w:abstractNumId w:val="14"/>
  </w:num>
  <w:num w:numId="35" w16cid:durableId="1445423643">
    <w:abstractNumId w:val="24"/>
  </w:num>
  <w:num w:numId="36" w16cid:durableId="766316777">
    <w:abstractNumId w:val="13"/>
  </w:num>
  <w:num w:numId="37" w16cid:durableId="1403066295">
    <w:abstractNumId w:val="25"/>
  </w:num>
  <w:num w:numId="38" w16cid:durableId="1796439652">
    <w:abstractNumId w:val="10"/>
  </w:num>
  <w:num w:numId="39" w16cid:durableId="1826623881">
    <w:abstractNumId w:val="20"/>
  </w:num>
  <w:num w:numId="40" w16cid:durableId="353072799">
    <w:abstractNumId w:val="12"/>
  </w:num>
  <w:num w:numId="41" w16cid:durableId="8740074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4080927">
    <w:abstractNumId w:val="30"/>
  </w:num>
  <w:num w:numId="43" w16cid:durableId="1476295996">
    <w:abstractNumId w:val="23"/>
  </w:num>
  <w:num w:numId="44" w16cid:durableId="1826007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02931870">
    <w:abstractNumId w:val="15"/>
  </w:num>
  <w:num w:numId="46" w16cid:durableId="8994841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18405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552048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914636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91E"/>
    <w:rsid w:val="00004465"/>
    <w:rsid w:val="00012283"/>
    <w:rsid w:val="0001291E"/>
    <w:rsid w:val="000233EF"/>
    <w:rsid w:val="00025643"/>
    <w:rsid w:val="000503F3"/>
    <w:rsid w:val="0005071B"/>
    <w:rsid w:val="00052E45"/>
    <w:rsid w:val="0005504D"/>
    <w:rsid w:val="00063BFC"/>
    <w:rsid w:val="00075404"/>
    <w:rsid w:val="00075663"/>
    <w:rsid w:val="00087EB9"/>
    <w:rsid w:val="000942AD"/>
    <w:rsid w:val="00096344"/>
    <w:rsid w:val="000A18E5"/>
    <w:rsid w:val="000A4220"/>
    <w:rsid w:val="000A437E"/>
    <w:rsid w:val="000A47E1"/>
    <w:rsid w:val="000A5DB8"/>
    <w:rsid w:val="000A6B66"/>
    <w:rsid w:val="000A7727"/>
    <w:rsid w:val="000B0BC4"/>
    <w:rsid w:val="000C57E2"/>
    <w:rsid w:val="000D538F"/>
    <w:rsid w:val="000D5F25"/>
    <w:rsid w:val="000F2744"/>
    <w:rsid w:val="000F5F8A"/>
    <w:rsid w:val="00105A8E"/>
    <w:rsid w:val="00115E94"/>
    <w:rsid w:val="0012041E"/>
    <w:rsid w:val="001268D4"/>
    <w:rsid w:val="00134DA3"/>
    <w:rsid w:val="0013568B"/>
    <w:rsid w:val="001433B6"/>
    <w:rsid w:val="00143CC8"/>
    <w:rsid w:val="00150CD2"/>
    <w:rsid w:val="00151736"/>
    <w:rsid w:val="00161FB2"/>
    <w:rsid w:val="00172439"/>
    <w:rsid w:val="00173772"/>
    <w:rsid w:val="00174CB5"/>
    <w:rsid w:val="001756DC"/>
    <w:rsid w:val="00175BCB"/>
    <w:rsid w:val="00180154"/>
    <w:rsid w:val="00180439"/>
    <w:rsid w:val="00185A98"/>
    <w:rsid w:val="001865AE"/>
    <w:rsid w:val="00194668"/>
    <w:rsid w:val="001A01EE"/>
    <w:rsid w:val="001A3DEB"/>
    <w:rsid w:val="001B52F0"/>
    <w:rsid w:val="001C3D60"/>
    <w:rsid w:val="001D51E2"/>
    <w:rsid w:val="001D71C6"/>
    <w:rsid w:val="001E4171"/>
    <w:rsid w:val="00201927"/>
    <w:rsid w:val="00207235"/>
    <w:rsid w:val="00214A99"/>
    <w:rsid w:val="002223C7"/>
    <w:rsid w:val="00223183"/>
    <w:rsid w:val="00232D03"/>
    <w:rsid w:val="0023587B"/>
    <w:rsid w:val="002372D3"/>
    <w:rsid w:val="002512D0"/>
    <w:rsid w:val="00257F38"/>
    <w:rsid w:val="0026556C"/>
    <w:rsid w:val="00276706"/>
    <w:rsid w:val="00281CD3"/>
    <w:rsid w:val="00287680"/>
    <w:rsid w:val="0029163D"/>
    <w:rsid w:val="002918F5"/>
    <w:rsid w:val="002933BC"/>
    <w:rsid w:val="00293745"/>
    <w:rsid w:val="002A4AE7"/>
    <w:rsid w:val="002C3F43"/>
    <w:rsid w:val="002D38BD"/>
    <w:rsid w:val="002E441D"/>
    <w:rsid w:val="002F15A7"/>
    <w:rsid w:val="002F34EB"/>
    <w:rsid w:val="002F5E44"/>
    <w:rsid w:val="002F67F0"/>
    <w:rsid w:val="0030166A"/>
    <w:rsid w:val="00301929"/>
    <w:rsid w:val="00306CC1"/>
    <w:rsid w:val="0031580F"/>
    <w:rsid w:val="003311B6"/>
    <w:rsid w:val="00333A7D"/>
    <w:rsid w:val="00355016"/>
    <w:rsid w:val="0037388B"/>
    <w:rsid w:val="003800C5"/>
    <w:rsid w:val="003830FE"/>
    <w:rsid w:val="00393272"/>
    <w:rsid w:val="003A028E"/>
    <w:rsid w:val="003B6B4D"/>
    <w:rsid w:val="003C3FD1"/>
    <w:rsid w:val="003D0BCF"/>
    <w:rsid w:val="003E3CF0"/>
    <w:rsid w:val="003E4DDE"/>
    <w:rsid w:val="00400591"/>
    <w:rsid w:val="00403AAF"/>
    <w:rsid w:val="004049E9"/>
    <w:rsid w:val="00417938"/>
    <w:rsid w:val="00426A0E"/>
    <w:rsid w:val="00434BC9"/>
    <w:rsid w:val="00443A62"/>
    <w:rsid w:val="00445094"/>
    <w:rsid w:val="00447EDA"/>
    <w:rsid w:val="00451466"/>
    <w:rsid w:val="00454FBD"/>
    <w:rsid w:val="00464175"/>
    <w:rsid w:val="004725E8"/>
    <w:rsid w:val="00481AFD"/>
    <w:rsid w:val="0048466F"/>
    <w:rsid w:val="00486F56"/>
    <w:rsid w:val="00487AA1"/>
    <w:rsid w:val="004967D2"/>
    <w:rsid w:val="00496A13"/>
    <w:rsid w:val="004B5FA8"/>
    <w:rsid w:val="004C10A6"/>
    <w:rsid w:val="004C5897"/>
    <w:rsid w:val="004E01B0"/>
    <w:rsid w:val="004E268C"/>
    <w:rsid w:val="00502C45"/>
    <w:rsid w:val="00502DAA"/>
    <w:rsid w:val="005048BB"/>
    <w:rsid w:val="0050519B"/>
    <w:rsid w:val="00506756"/>
    <w:rsid w:val="00510434"/>
    <w:rsid w:val="0051201C"/>
    <w:rsid w:val="00517022"/>
    <w:rsid w:val="00517DBA"/>
    <w:rsid w:val="00531A77"/>
    <w:rsid w:val="005553E7"/>
    <w:rsid w:val="005667A4"/>
    <w:rsid w:val="005673F6"/>
    <w:rsid w:val="00567E67"/>
    <w:rsid w:val="0058094A"/>
    <w:rsid w:val="00592B2C"/>
    <w:rsid w:val="005B0D74"/>
    <w:rsid w:val="005C3F83"/>
    <w:rsid w:val="005C4D1C"/>
    <w:rsid w:val="005C6601"/>
    <w:rsid w:val="005D66AD"/>
    <w:rsid w:val="005E0161"/>
    <w:rsid w:val="005E0F77"/>
    <w:rsid w:val="005E4D77"/>
    <w:rsid w:val="005E5E27"/>
    <w:rsid w:val="005E6795"/>
    <w:rsid w:val="005F052E"/>
    <w:rsid w:val="005F12D3"/>
    <w:rsid w:val="005F442C"/>
    <w:rsid w:val="005F601C"/>
    <w:rsid w:val="00600151"/>
    <w:rsid w:val="006020C1"/>
    <w:rsid w:val="00611487"/>
    <w:rsid w:val="006430F1"/>
    <w:rsid w:val="00647BF9"/>
    <w:rsid w:val="006670AF"/>
    <w:rsid w:val="00671FA9"/>
    <w:rsid w:val="00674982"/>
    <w:rsid w:val="00681931"/>
    <w:rsid w:val="0068213A"/>
    <w:rsid w:val="006842C7"/>
    <w:rsid w:val="006A46BB"/>
    <w:rsid w:val="006B190B"/>
    <w:rsid w:val="006B3FE6"/>
    <w:rsid w:val="006B6257"/>
    <w:rsid w:val="006B799D"/>
    <w:rsid w:val="006D2BB3"/>
    <w:rsid w:val="006E7AE2"/>
    <w:rsid w:val="006F769D"/>
    <w:rsid w:val="00723383"/>
    <w:rsid w:val="00725C2D"/>
    <w:rsid w:val="007276B8"/>
    <w:rsid w:val="00733070"/>
    <w:rsid w:val="007333D5"/>
    <w:rsid w:val="00733F6C"/>
    <w:rsid w:val="00734F4A"/>
    <w:rsid w:val="00741123"/>
    <w:rsid w:val="00744B84"/>
    <w:rsid w:val="0075183B"/>
    <w:rsid w:val="007712D6"/>
    <w:rsid w:val="007909F1"/>
    <w:rsid w:val="00797620"/>
    <w:rsid w:val="007A0350"/>
    <w:rsid w:val="007A0DA5"/>
    <w:rsid w:val="007A3EB8"/>
    <w:rsid w:val="007A4240"/>
    <w:rsid w:val="007A42F0"/>
    <w:rsid w:val="007A5219"/>
    <w:rsid w:val="007B2D49"/>
    <w:rsid w:val="007B2FB7"/>
    <w:rsid w:val="007C2A94"/>
    <w:rsid w:val="007C7EBB"/>
    <w:rsid w:val="007E0518"/>
    <w:rsid w:val="007E5594"/>
    <w:rsid w:val="007F5B16"/>
    <w:rsid w:val="00801086"/>
    <w:rsid w:val="00803713"/>
    <w:rsid w:val="00810293"/>
    <w:rsid w:val="00820245"/>
    <w:rsid w:val="00824408"/>
    <w:rsid w:val="0082641A"/>
    <w:rsid w:val="00827ADF"/>
    <w:rsid w:val="00834135"/>
    <w:rsid w:val="00835858"/>
    <w:rsid w:val="0084164B"/>
    <w:rsid w:val="008516DA"/>
    <w:rsid w:val="008528A2"/>
    <w:rsid w:val="008540B9"/>
    <w:rsid w:val="008554E9"/>
    <w:rsid w:val="00864227"/>
    <w:rsid w:val="0089171E"/>
    <w:rsid w:val="00893F68"/>
    <w:rsid w:val="00895E9F"/>
    <w:rsid w:val="008A1359"/>
    <w:rsid w:val="008A6F74"/>
    <w:rsid w:val="008C2CAB"/>
    <w:rsid w:val="008D16CE"/>
    <w:rsid w:val="008F05D3"/>
    <w:rsid w:val="00900576"/>
    <w:rsid w:val="00936A96"/>
    <w:rsid w:val="00944F1E"/>
    <w:rsid w:val="009517E0"/>
    <w:rsid w:val="00971E4B"/>
    <w:rsid w:val="00981DEC"/>
    <w:rsid w:val="00997352"/>
    <w:rsid w:val="009A342E"/>
    <w:rsid w:val="009C7226"/>
    <w:rsid w:val="009C7706"/>
    <w:rsid w:val="009D4BEF"/>
    <w:rsid w:val="00A05E5A"/>
    <w:rsid w:val="00A0768F"/>
    <w:rsid w:val="00A17747"/>
    <w:rsid w:val="00A40A8E"/>
    <w:rsid w:val="00A415D6"/>
    <w:rsid w:val="00A41B1E"/>
    <w:rsid w:val="00A426E6"/>
    <w:rsid w:val="00A569CE"/>
    <w:rsid w:val="00A62388"/>
    <w:rsid w:val="00A629D9"/>
    <w:rsid w:val="00A63B70"/>
    <w:rsid w:val="00A64896"/>
    <w:rsid w:val="00A73E53"/>
    <w:rsid w:val="00A77737"/>
    <w:rsid w:val="00A83B8E"/>
    <w:rsid w:val="00A95872"/>
    <w:rsid w:val="00AA2375"/>
    <w:rsid w:val="00AA28D3"/>
    <w:rsid w:val="00AB6EEC"/>
    <w:rsid w:val="00AD6D0A"/>
    <w:rsid w:val="00AD79B2"/>
    <w:rsid w:val="00AE60FD"/>
    <w:rsid w:val="00B14A74"/>
    <w:rsid w:val="00B20930"/>
    <w:rsid w:val="00B20C01"/>
    <w:rsid w:val="00B34552"/>
    <w:rsid w:val="00B46B49"/>
    <w:rsid w:val="00B55825"/>
    <w:rsid w:val="00B56AC8"/>
    <w:rsid w:val="00B63228"/>
    <w:rsid w:val="00B66A8C"/>
    <w:rsid w:val="00B726D4"/>
    <w:rsid w:val="00BA2DF9"/>
    <w:rsid w:val="00BA68ED"/>
    <w:rsid w:val="00BB0971"/>
    <w:rsid w:val="00BB4B2E"/>
    <w:rsid w:val="00BC178F"/>
    <w:rsid w:val="00BC5B60"/>
    <w:rsid w:val="00BE5823"/>
    <w:rsid w:val="00BF1568"/>
    <w:rsid w:val="00BF635F"/>
    <w:rsid w:val="00C00187"/>
    <w:rsid w:val="00C02E7B"/>
    <w:rsid w:val="00C1465D"/>
    <w:rsid w:val="00C40AA2"/>
    <w:rsid w:val="00C42365"/>
    <w:rsid w:val="00C4600A"/>
    <w:rsid w:val="00C522ED"/>
    <w:rsid w:val="00C5300E"/>
    <w:rsid w:val="00C722E8"/>
    <w:rsid w:val="00C741A5"/>
    <w:rsid w:val="00C80244"/>
    <w:rsid w:val="00C85CC0"/>
    <w:rsid w:val="00C871E7"/>
    <w:rsid w:val="00C934DF"/>
    <w:rsid w:val="00C950B8"/>
    <w:rsid w:val="00CA1214"/>
    <w:rsid w:val="00CA4717"/>
    <w:rsid w:val="00CB4636"/>
    <w:rsid w:val="00CB5DEA"/>
    <w:rsid w:val="00CB7668"/>
    <w:rsid w:val="00CC0437"/>
    <w:rsid w:val="00CD52EF"/>
    <w:rsid w:val="00CF4939"/>
    <w:rsid w:val="00D00876"/>
    <w:rsid w:val="00D04B5C"/>
    <w:rsid w:val="00D21D4C"/>
    <w:rsid w:val="00D3789B"/>
    <w:rsid w:val="00D4249A"/>
    <w:rsid w:val="00D42A71"/>
    <w:rsid w:val="00D45571"/>
    <w:rsid w:val="00D47AAE"/>
    <w:rsid w:val="00D55022"/>
    <w:rsid w:val="00D704F1"/>
    <w:rsid w:val="00D752DD"/>
    <w:rsid w:val="00D80436"/>
    <w:rsid w:val="00D80E70"/>
    <w:rsid w:val="00D967DC"/>
    <w:rsid w:val="00DA1BF6"/>
    <w:rsid w:val="00DA233C"/>
    <w:rsid w:val="00DB0721"/>
    <w:rsid w:val="00DB3567"/>
    <w:rsid w:val="00DC17F6"/>
    <w:rsid w:val="00DC5E1B"/>
    <w:rsid w:val="00DE3783"/>
    <w:rsid w:val="00DF4BCF"/>
    <w:rsid w:val="00E005A2"/>
    <w:rsid w:val="00E11C6C"/>
    <w:rsid w:val="00E1690E"/>
    <w:rsid w:val="00E26796"/>
    <w:rsid w:val="00E37688"/>
    <w:rsid w:val="00E6620E"/>
    <w:rsid w:val="00E67013"/>
    <w:rsid w:val="00E7207B"/>
    <w:rsid w:val="00E72324"/>
    <w:rsid w:val="00E75704"/>
    <w:rsid w:val="00E82EBC"/>
    <w:rsid w:val="00E900D6"/>
    <w:rsid w:val="00E977AF"/>
    <w:rsid w:val="00EB43DD"/>
    <w:rsid w:val="00EC0103"/>
    <w:rsid w:val="00EC660F"/>
    <w:rsid w:val="00ED60A6"/>
    <w:rsid w:val="00ED7C27"/>
    <w:rsid w:val="00F064A4"/>
    <w:rsid w:val="00F12EA4"/>
    <w:rsid w:val="00F23784"/>
    <w:rsid w:val="00F27A8E"/>
    <w:rsid w:val="00F3145F"/>
    <w:rsid w:val="00F571D0"/>
    <w:rsid w:val="00F600B4"/>
    <w:rsid w:val="00F63846"/>
    <w:rsid w:val="00F73349"/>
    <w:rsid w:val="00F81244"/>
    <w:rsid w:val="00F83059"/>
    <w:rsid w:val="00F8477B"/>
    <w:rsid w:val="00F84934"/>
    <w:rsid w:val="00F95CF9"/>
    <w:rsid w:val="00F96C37"/>
    <w:rsid w:val="00FA197C"/>
    <w:rsid w:val="00FA46F4"/>
    <w:rsid w:val="00FB04AA"/>
    <w:rsid w:val="00FB2DC5"/>
    <w:rsid w:val="00FB4B2E"/>
    <w:rsid w:val="00FC07A0"/>
    <w:rsid w:val="00FC10C4"/>
    <w:rsid w:val="00FC3EEE"/>
    <w:rsid w:val="00FD449E"/>
    <w:rsid w:val="00FD5863"/>
    <w:rsid w:val="00FE2D59"/>
    <w:rsid w:val="00FE53DD"/>
    <w:rsid w:val="00FF04AF"/>
    <w:rsid w:val="00FF5F5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61C132"/>
  <w15:docId w15:val="{0B80040E-564F-4496-B79B-EC36DAEF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121"/>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E"/>
    <w:pPr>
      <w:spacing w:line="288" w:lineRule="auto"/>
    </w:pPr>
    <w:rPr>
      <w:rFonts w:ascii="Arial" w:hAnsi="Arial"/>
      <w:sz w:val="24"/>
    </w:rPr>
  </w:style>
  <w:style w:type="paragraph" w:styleId="Heading1">
    <w:name w:val="heading 1"/>
    <w:basedOn w:val="Normal"/>
    <w:next w:val="Normal"/>
    <w:link w:val="Heading1Char"/>
    <w:uiPriority w:val="9"/>
    <w:qFormat/>
    <w:rsid w:val="00FE53DD"/>
    <w:pPr>
      <w:keepNext/>
      <w:keepLines/>
      <w:numPr>
        <w:numId w:val="23"/>
      </w:numPr>
      <w:spacing w:before="480" w:after="480"/>
      <w:ind w:left="851" w:hanging="851"/>
      <w:outlineLvl w:val="0"/>
    </w:pPr>
    <w:rPr>
      <w:rFonts w:eastAsiaTheme="majorEastAsia" w:cstheme="majorBidi"/>
      <w:b/>
      <w:bCs/>
      <w:color w:val="203D58"/>
      <w:sz w:val="32"/>
      <w:szCs w:val="28"/>
    </w:rPr>
  </w:style>
  <w:style w:type="paragraph" w:styleId="Heading2">
    <w:name w:val="heading 2"/>
    <w:basedOn w:val="Heading1NoNumber"/>
    <w:next w:val="Normal"/>
    <w:link w:val="Heading2Char"/>
    <w:uiPriority w:val="9"/>
    <w:unhideWhenUsed/>
    <w:qFormat/>
    <w:rsid w:val="003D0BCF"/>
    <w:pPr>
      <w:spacing w:before="720" w:after="240"/>
      <w:ind w:firstLine="567"/>
      <w:outlineLvl w:val="1"/>
    </w:pPr>
  </w:style>
  <w:style w:type="paragraph" w:styleId="Heading3">
    <w:name w:val="heading 3"/>
    <w:basedOn w:val="Normal"/>
    <w:next w:val="Normal"/>
    <w:link w:val="Heading3Char"/>
    <w:uiPriority w:val="9"/>
    <w:unhideWhenUsed/>
    <w:qFormat/>
    <w:rsid w:val="00CD52EF"/>
    <w:pPr>
      <w:keepNext/>
      <w:keepLines/>
      <w:spacing w:before="200" w:after="120"/>
      <w:ind w:left="567"/>
      <w:outlineLvl w:val="2"/>
    </w:pPr>
    <w:rPr>
      <w:rFonts w:eastAsiaTheme="majorEastAsia" w:cstheme="majorBidi"/>
      <w:b/>
      <w:color w:val="76A240"/>
      <w:szCs w:val="26"/>
    </w:rPr>
  </w:style>
  <w:style w:type="paragraph" w:styleId="Heading4">
    <w:name w:val="heading 4"/>
    <w:basedOn w:val="Normal"/>
    <w:next w:val="Normal"/>
    <w:link w:val="Heading4Char"/>
    <w:uiPriority w:val="9"/>
    <w:unhideWhenUsed/>
    <w:qFormat/>
    <w:rsid w:val="006842C7"/>
    <w:pPr>
      <w:keepNext/>
      <w:keepLines/>
      <w:numPr>
        <w:ilvl w:val="3"/>
        <w:numId w:val="23"/>
      </w:numPr>
      <w:spacing w:before="200" w:after="0"/>
      <w:ind w:left="1134" w:hanging="113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2D38BD"/>
    <w:pPr>
      <w:keepNext/>
      <w:keepLines/>
      <w:numPr>
        <w:ilvl w:val="4"/>
        <w:numId w:val="23"/>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85CC0"/>
    <w:pPr>
      <w:keepNext/>
      <w:keepLines/>
      <w:numPr>
        <w:ilvl w:val="5"/>
        <w:numId w:val="2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CC0"/>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CC0"/>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CC0"/>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44"/>
    <w:rPr>
      <w:rFonts w:ascii="Tahoma" w:hAnsi="Tahoma" w:cs="Tahoma"/>
      <w:sz w:val="16"/>
      <w:szCs w:val="16"/>
    </w:rPr>
  </w:style>
  <w:style w:type="character" w:customStyle="1" w:styleId="Heading1Char">
    <w:name w:val="Heading 1 Char"/>
    <w:basedOn w:val="DefaultParagraphFont"/>
    <w:link w:val="Heading1"/>
    <w:uiPriority w:val="9"/>
    <w:rsid w:val="00FE53DD"/>
    <w:rPr>
      <w:rFonts w:ascii="Arial" w:eastAsiaTheme="majorEastAsia" w:hAnsi="Arial" w:cstheme="majorBidi"/>
      <w:b/>
      <w:bCs/>
      <w:color w:val="203D58"/>
      <w:sz w:val="32"/>
      <w:szCs w:val="28"/>
    </w:rPr>
  </w:style>
  <w:style w:type="character" w:customStyle="1" w:styleId="Heading2Char">
    <w:name w:val="Heading 2 Char"/>
    <w:basedOn w:val="DefaultParagraphFont"/>
    <w:link w:val="Heading2"/>
    <w:uiPriority w:val="9"/>
    <w:rsid w:val="003D0BCF"/>
    <w:rPr>
      <w:rFonts w:ascii="Arial" w:eastAsiaTheme="majorEastAsia" w:hAnsi="Arial" w:cstheme="majorBidi"/>
      <w:b/>
      <w:bCs/>
      <w:color w:val="203D58"/>
      <w:sz w:val="32"/>
      <w:szCs w:val="28"/>
    </w:rPr>
  </w:style>
  <w:style w:type="paragraph" w:styleId="Title">
    <w:name w:val="Title"/>
    <w:basedOn w:val="Normal"/>
    <w:next w:val="Normal"/>
    <w:link w:val="TitleChar"/>
    <w:uiPriority w:val="10"/>
    <w:qFormat/>
    <w:rsid w:val="00FB04AA"/>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FB04AA"/>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D80E70"/>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D80E70"/>
    <w:rPr>
      <w:rFonts w:ascii="Arial" w:eastAsiaTheme="majorEastAsia" w:hAnsi="Arial" w:cstheme="majorBidi"/>
      <w:iCs/>
      <w:color w:val="799900"/>
      <w:sz w:val="44"/>
      <w:szCs w:val="24"/>
    </w:rPr>
  </w:style>
  <w:style w:type="paragraph" w:customStyle="1" w:styleId="BodyHighlight">
    <w:name w:val="Body Highlight"/>
    <w:basedOn w:val="BodyText"/>
    <w:qFormat/>
    <w:rsid w:val="0084164B"/>
    <w:rPr>
      <w:b/>
    </w:rPr>
  </w:style>
  <w:style w:type="paragraph" w:styleId="ListBullet">
    <w:name w:val="List Bullet"/>
    <w:basedOn w:val="BodyText"/>
    <w:qFormat/>
    <w:rsid w:val="00143CC8"/>
    <w:pPr>
      <w:numPr>
        <w:numId w:val="11"/>
      </w:numPr>
      <w:spacing w:before="80" w:after="80" w:line="240" w:lineRule="atLeast"/>
      <w:ind w:left="397"/>
    </w:pPr>
    <w:rPr>
      <w:rFonts w:eastAsia="Times New Roman" w:cs="Times New Roman"/>
      <w:lang w:eastAsia="en-AU"/>
    </w:rPr>
  </w:style>
  <w:style w:type="paragraph" w:styleId="BodyText">
    <w:name w:val="Body Text"/>
    <w:basedOn w:val="Normal"/>
    <w:link w:val="BodyTextChar"/>
    <w:uiPriority w:val="1"/>
    <w:qFormat/>
    <w:rsid w:val="000503F3"/>
    <w:pPr>
      <w:spacing w:before="120" w:after="120"/>
    </w:pPr>
  </w:style>
  <w:style w:type="character" w:customStyle="1" w:styleId="BodyTextChar">
    <w:name w:val="Body Text Char"/>
    <w:basedOn w:val="DefaultParagraphFont"/>
    <w:link w:val="BodyText"/>
    <w:rsid w:val="000503F3"/>
    <w:rPr>
      <w:rFonts w:ascii="Arial" w:hAnsi="Arial"/>
      <w:sz w:val="24"/>
    </w:rPr>
  </w:style>
  <w:style w:type="paragraph" w:styleId="ListBullet2">
    <w:name w:val="List Bullet 2"/>
    <w:basedOn w:val="ListBullet"/>
    <w:rsid w:val="00C02E7B"/>
    <w:pPr>
      <w:numPr>
        <w:ilvl w:val="1"/>
      </w:numPr>
      <w:ind w:left="794"/>
    </w:pPr>
  </w:style>
  <w:style w:type="paragraph" w:styleId="ListBullet3">
    <w:name w:val="List Bullet 3"/>
    <w:basedOn w:val="ListBullet2"/>
    <w:rsid w:val="00C02E7B"/>
    <w:pPr>
      <w:numPr>
        <w:ilvl w:val="2"/>
      </w:numPr>
      <w:ind w:left="1191"/>
    </w:pPr>
  </w:style>
  <w:style w:type="paragraph" w:styleId="ListBullet4">
    <w:name w:val="List Bullet 4"/>
    <w:basedOn w:val="Normal"/>
    <w:semiHidden/>
    <w:rsid w:val="00A629D9"/>
    <w:pPr>
      <w:numPr>
        <w:ilvl w:val="3"/>
        <w:numId w:val="11"/>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629D9"/>
    <w:pPr>
      <w:numPr>
        <w:ilvl w:val="4"/>
        <w:numId w:val="11"/>
      </w:numPr>
      <w:spacing w:after="0" w:line="240" w:lineRule="auto"/>
    </w:pPr>
    <w:rPr>
      <w:rFonts w:eastAsia="Times New Roman" w:cs="Times New Roman"/>
      <w:color w:val="auto"/>
      <w:sz w:val="20"/>
      <w:szCs w:val="24"/>
      <w:lang w:eastAsia="en-AU"/>
    </w:rPr>
  </w:style>
  <w:style w:type="paragraph" w:styleId="ListNumber">
    <w:name w:val="List Number"/>
    <w:basedOn w:val="BodyText"/>
    <w:link w:val="ListNumberChar"/>
    <w:qFormat/>
    <w:rsid w:val="00143CC8"/>
    <w:pPr>
      <w:numPr>
        <w:numId w:val="21"/>
      </w:numPr>
      <w:spacing w:before="80" w:after="80" w:line="240" w:lineRule="atLeast"/>
    </w:pPr>
    <w:rPr>
      <w:rFonts w:eastAsia="Times New Roman" w:cs="Times New Roman"/>
      <w:lang w:eastAsia="en-AU"/>
    </w:rPr>
  </w:style>
  <w:style w:type="character" w:customStyle="1" w:styleId="ListNumberChar">
    <w:name w:val="List Number Char"/>
    <w:basedOn w:val="DefaultParagraphFont"/>
    <w:link w:val="ListNumber"/>
    <w:rsid w:val="00143CC8"/>
    <w:rPr>
      <w:rFonts w:ascii="Arial" w:eastAsia="Times New Roman" w:hAnsi="Arial" w:cs="Times New Roman"/>
      <w:sz w:val="24"/>
      <w:lang w:eastAsia="en-AU"/>
    </w:rPr>
  </w:style>
  <w:style w:type="paragraph" w:styleId="ListNumber2">
    <w:name w:val="List Number 2"/>
    <w:basedOn w:val="ListNumber"/>
    <w:rsid w:val="00C02E7B"/>
    <w:pPr>
      <w:numPr>
        <w:ilvl w:val="1"/>
      </w:numPr>
    </w:pPr>
  </w:style>
  <w:style w:type="paragraph" w:styleId="ListNumber3">
    <w:name w:val="List Number 3"/>
    <w:basedOn w:val="ListNumber2"/>
    <w:rsid w:val="00C02E7B"/>
    <w:pPr>
      <w:numPr>
        <w:ilvl w:val="2"/>
      </w:numPr>
    </w:pPr>
  </w:style>
  <w:style w:type="paragraph" w:styleId="ListNumber4">
    <w:name w:val="List Number 4"/>
    <w:basedOn w:val="ListNumber3"/>
    <w:semiHidden/>
    <w:rsid w:val="00A629D9"/>
    <w:pPr>
      <w:numPr>
        <w:ilvl w:val="3"/>
      </w:numPr>
    </w:pPr>
  </w:style>
  <w:style w:type="paragraph" w:styleId="ListNumber5">
    <w:name w:val="List Number 5"/>
    <w:basedOn w:val="ListNumber4"/>
    <w:semiHidden/>
    <w:rsid w:val="00A629D9"/>
    <w:pPr>
      <w:numPr>
        <w:ilvl w:val="4"/>
      </w:numPr>
    </w:pPr>
  </w:style>
  <w:style w:type="paragraph" w:customStyle="1" w:styleId="Heading1NoNumber">
    <w:name w:val="Heading 1 No Number"/>
    <w:basedOn w:val="Heading1"/>
    <w:next w:val="BodyText"/>
    <w:qFormat/>
    <w:rsid w:val="00C85CC0"/>
    <w:pPr>
      <w:numPr>
        <w:numId w:val="0"/>
      </w:numPr>
    </w:pPr>
  </w:style>
  <w:style w:type="character" w:customStyle="1" w:styleId="Heading3Char">
    <w:name w:val="Heading 3 Char"/>
    <w:basedOn w:val="DefaultParagraphFont"/>
    <w:link w:val="Heading3"/>
    <w:uiPriority w:val="9"/>
    <w:rsid w:val="00CD52EF"/>
    <w:rPr>
      <w:rFonts w:ascii="Arial" w:eastAsiaTheme="majorEastAsia" w:hAnsi="Arial" w:cstheme="majorBidi"/>
      <w:b/>
      <w:color w:val="76A240"/>
      <w:sz w:val="24"/>
      <w:szCs w:val="26"/>
    </w:rPr>
  </w:style>
  <w:style w:type="character" w:customStyle="1" w:styleId="Heading4Char">
    <w:name w:val="Heading 4 Char"/>
    <w:basedOn w:val="DefaultParagraphFont"/>
    <w:link w:val="Heading4"/>
    <w:uiPriority w:val="9"/>
    <w:rsid w:val="006842C7"/>
    <w:rPr>
      <w:rFonts w:ascii="Arial" w:eastAsiaTheme="majorEastAsia" w:hAnsi="Arial" w:cstheme="majorBidi"/>
      <w:b/>
      <w:bCs/>
      <w:iCs/>
      <w:color w:val="212121"/>
    </w:rPr>
  </w:style>
  <w:style w:type="character" w:customStyle="1" w:styleId="Heading5Char">
    <w:name w:val="Heading 5 Char"/>
    <w:basedOn w:val="DefaultParagraphFont"/>
    <w:link w:val="Heading5"/>
    <w:uiPriority w:val="9"/>
    <w:semiHidden/>
    <w:rsid w:val="002D38BD"/>
    <w:rPr>
      <w:rFonts w:ascii="Arial" w:eastAsiaTheme="majorEastAsia" w:hAnsi="Arial" w:cstheme="majorBidi"/>
    </w:rPr>
  </w:style>
  <w:style w:type="character" w:customStyle="1" w:styleId="Heading6Char">
    <w:name w:val="Heading 6 Char"/>
    <w:basedOn w:val="DefaultParagraphFont"/>
    <w:link w:val="Heading6"/>
    <w:uiPriority w:val="9"/>
    <w:semiHidden/>
    <w:rsid w:val="00C85CC0"/>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5C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5C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CC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0"/>
    <w:rPr>
      <w:rFonts w:ascii="Arial" w:hAnsi="Arial"/>
      <w:color w:val="212121"/>
    </w:rPr>
  </w:style>
  <w:style w:type="paragraph" w:styleId="Footer">
    <w:name w:val="footer"/>
    <w:basedOn w:val="Normal"/>
    <w:link w:val="FooterChar"/>
    <w:uiPriority w:val="99"/>
    <w:unhideWhenUsed/>
    <w:rsid w:val="000A5DB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A5DB8"/>
    <w:rPr>
      <w:rFonts w:ascii="Arial" w:hAnsi="Arial"/>
      <w:color w:val="212121"/>
      <w:sz w:val="20"/>
    </w:rPr>
  </w:style>
  <w:style w:type="paragraph" w:customStyle="1" w:styleId="Author">
    <w:name w:val="Author"/>
    <w:basedOn w:val="Normal"/>
    <w:qFormat/>
    <w:rsid w:val="000942AD"/>
    <w:pPr>
      <w:spacing w:after="120"/>
    </w:pPr>
    <w:rPr>
      <w:color w:val="76A240"/>
      <w:sz w:val="28"/>
    </w:rPr>
  </w:style>
  <w:style w:type="paragraph" w:customStyle="1" w:styleId="AuthorJobTitle">
    <w:name w:val="Author Job Title"/>
    <w:basedOn w:val="Normal"/>
    <w:qFormat/>
    <w:rsid w:val="009C7226"/>
    <w:pPr>
      <w:spacing w:after="360"/>
    </w:pPr>
    <w:rPr>
      <w:b/>
    </w:rPr>
  </w:style>
  <w:style w:type="paragraph" w:customStyle="1" w:styleId="IntroText">
    <w:name w:val="Intro Text"/>
    <w:basedOn w:val="Normal"/>
    <w:next w:val="BodyText"/>
    <w:qFormat/>
    <w:rsid w:val="0012041E"/>
    <w:pPr>
      <w:spacing w:before="120"/>
    </w:pPr>
    <w:rPr>
      <w:color w:val="76A240"/>
      <w:sz w:val="28"/>
    </w:rPr>
  </w:style>
  <w:style w:type="paragraph" w:styleId="FootnoteText">
    <w:name w:val="footnote text"/>
    <w:basedOn w:val="Normal"/>
    <w:link w:val="FootnoteTextChar"/>
    <w:rsid w:val="000A7727"/>
    <w:pPr>
      <w:spacing w:after="0" w:line="240" w:lineRule="auto"/>
    </w:pPr>
    <w:rPr>
      <w:sz w:val="18"/>
      <w:szCs w:val="20"/>
    </w:rPr>
  </w:style>
  <w:style w:type="character" w:customStyle="1" w:styleId="FootnoteTextChar">
    <w:name w:val="Footnote Text Char"/>
    <w:basedOn w:val="DefaultParagraphFont"/>
    <w:link w:val="FootnoteText"/>
    <w:rsid w:val="000A7727"/>
    <w:rPr>
      <w:rFonts w:ascii="Arial" w:hAnsi="Arial"/>
      <w:sz w:val="18"/>
      <w:szCs w:val="20"/>
    </w:rPr>
  </w:style>
  <w:style w:type="paragraph" w:customStyle="1" w:styleId="CalloutBullet">
    <w:name w:val="Callout Bullet"/>
    <w:basedOn w:val="CalloutText"/>
    <w:qFormat/>
    <w:rsid w:val="004E01B0"/>
    <w:pPr>
      <w:numPr>
        <w:numId w:val="24"/>
      </w:numPr>
      <w:ind w:left="539" w:right="284" w:hanging="397"/>
    </w:pPr>
  </w:style>
  <w:style w:type="table" w:styleId="TableGrid">
    <w:name w:val="Table Grid"/>
    <w:basedOn w:val="TableNormal"/>
    <w:uiPriority w:val="59"/>
    <w:rsid w:val="0044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
    <w:name w:val="Simple"/>
    <w:basedOn w:val="TableNormal"/>
    <w:uiPriority w:val="99"/>
    <w:rsid w:val="000503F3"/>
    <w:pPr>
      <w:keepNext/>
      <w:keepLines/>
      <w:spacing w:before="60" w:after="60" w:line="240" w:lineRule="auto"/>
    </w:pPr>
    <w:rPr>
      <w:rFonts w:ascii="Arial" w:hAnsi="Arial"/>
    </w:rPr>
    <w:tblPr>
      <w:tblStyleRowBandSize w:val="1"/>
      <w:tblBorders>
        <w:insideH w:val="dotted" w:sz="4" w:space="0" w:color="auto"/>
        <w:insideV w:val="dotted" w:sz="4" w:space="0" w:color="auto"/>
      </w:tblBorders>
    </w:tblPr>
    <w:tcPr>
      <w:vAlign w:val="center"/>
    </w:tcPr>
    <w:tblStylePr w:type="firstRow">
      <w:rPr>
        <w:b/>
        <w:color w:val="008AC4"/>
      </w:rPr>
      <w:tblPr/>
      <w:tcPr>
        <w:tcBorders>
          <w:bottom w:val="single" w:sz="4" w:space="0" w:color="auto"/>
        </w:tcBorders>
      </w:tcPr>
    </w:tblStylePr>
    <w:tblStylePr w:type="lastRow">
      <w:pPr>
        <w:jc w:val="left"/>
      </w:pPr>
      <w:rPr>
        <w:b/>
        <w:color w:val="212121"/>
      </w:rPr>
      <w:tblPr/>
      <w:tcPr>
        <w:tcBorders>
          <w:top w:val="single" w:sz="4" w:space="0" w:color="auto"/>
          <w:bottom w:val="single" w:sz="4" w:space="0" w:color="auto"/>
        </w:tcBorders>
      </w:tcPr>
    </w:tblStylePr>
    <w:tblStylePr w:type="firstCol">
      <w:rPr>
        <w:b/>
        <w:color w:val="008AC4"/>
      </w:rPr>
      <w:tblPr/>
      <w:tcPr>
        <w:tcBorders>
          <w:right w:val="single" w:sz="4" w:space="0" w:color="auto"/>
        </w:tcBorders>
      </w:tcPr>
    </w:tblStylePr>
    <w:tblStylePr w:type="lastCol">
      <w:pPr>
        <w:jc w:val="right"/>
      </w:pPr>
    </w:tblStylePr>
    <w:tblStylePr w:type="band2Horz">
      <w:tblPr/>
      <w:tcPr>
        <w:shd w:val="clear" w:color="auto" w:fill="EAEAEA"/>
      </w:tcPr>
    </w:tblStylePr>
  </w:style>
  <w:style w:type="paragraph" w:styleId="Caption">
    <w:name w:val="caption"/>
    <w:basedOn w:val="Normal"/>
    <w:next w:val="Normal"/>
    <w:uiPriority w:val="35"/>
    <w:unhideWhenUsed/>
    <w:qFormat/>
    <w:rsid w:val="00E977AF"/>
    <w:pPr>
      <w:spacing w:after="200" w:line="240" w:lineRule="auto"/>
    </w:pPr>
    <w:rPr>
      <w:b/>
      <w:bCs/>
      <w:color w:val="1594CA"/>
      <w:sz w:val="16"/>
      <w:szCs w:val="18"/>
    </w:rPr>
  </w:style>
  <w:style w:type="paragraph" w:styleId="TOC1">
    <w:name w:val="toc 1"/>
    <w:basedOn w:val="Normal"/>
    <w:next w:val="Normal"/>
    <w:autoRedefine/>
    <w:uiPriority w:val="39"/>
    <w:unhideWhenUsed/>
    <w:rsid w:val="002F15A7"/>
    <w:pPr>
      <w:spacing w:after="100"/>
    </w:pPr>
  </w:style>
  <w:style w:type="character" w:styleId="Hyperlink">
    <w:name w:val="Hyperlink"/>
    <w:basedOn w:val="DefaultParagraphFont"/>
    <w:uiPriority w:val="99"/>
    <w:unhideWhenUsed/>
    <w:rsid w:val="002F15A7"/>
    <w:rPr>
      <w:color w:val="0563C1" w:themeColor="hyperlink"/>
      <w:u w:val="single"/>
    </w:rPr>
  </w:style>
  <w:style w:type="paragraph" w:customStyle="1" w:styleId="TableBullet">
    <w:name w:val="Table Bullet"/>
    <w:basedOn w:val="ListBullet"/>
    <w:qFormat/>
    <w:rsid w:val="00EC0103"/>
    <w:pPr>
      <w:spacing w:line="240" w:lineRule="auto"/>
      <w:ind w:left="284" w:hanging="284"/>
    </w:pPr>
  </w:style>
  <w:style w:type="paragraph" w:customStyle="1" w:styleId="TableNumber">
    <w:name w:val="Table Number"/>
    <w:basedOn w:val="ListNumber"/>
    <w:qFormat/>
    <w:rsid w:val="00EC0103"/>
    <w:pPr>
      <w:tabs>
        <w:tab w:val="clear" w:pos="964"/>
      </w:tabs>
      <w:spacing w:line="240" w:lineRule="auto"/>
      <w:ind w:left="284" w:hanging="284"/>
    </w:pPr>
  </w:style>
  <w:style w:type="paragraph" w:customStyle="1" w:styleId="Heading2NoNumber">
    <w:name w:val="Heading 2 No Number"/>
    <w:basedOn w:val="Heading2"/>
    <w:next w:val="BodyText"/>
    <w:qFormat/>
    <w:rsid w:val="00CB5DEA"/>
    <w:pPr>
      <w:ind w:firstLine="0"/>
    </w:pPr>
  </w:style>
  <w:style w:type="paragraph" w:customStyle="1" w:styleId="Heading3NoNumber">
    <w:name w:val="Heading 3 No Number"/>
    <w:basedOn w:val="Heading3"/>
    <w:next w:val="BodyText"/>
    <w:qFormat/>
    <w:rsid w:val="0005071B"/>
  </w:style>
  <w:style w:type="paragraph" w:customStyle="1" w:styleId="CoverText">
    <w:name w:val="Cover Text"/>
    <w:basedOn w:val="BodyText"/>
    <w:qFormat/>
    <w:rsid w:val="008A1359"/>
    <w:rPr>
      <w:color w:val="FFFFFF"/>
    </w:rPr>
  </w:style>
  <w:style w:type="paragraph" w:customStyle="1" w:styleId="CalloutText">
    <w:name w:val="Callout Text"/>
    <w:basedOn w:val="Normal"/>
    <w:qFormat/>
    <w:rsid w:val="004E01B0"/>
    <w:pPr>
      <w:spacing w:before="120" w:after="120"/>
      <w:ind w:left="142" w:right="281"/>
    </w:pPr>
    <w:rPr>
      <w:color w:val="FFFFFF"/>
    </w:rPr>
  </w:style>
  <w:style w:type="paragraph" w:customStyle="1" w:styleId="CalloutHeading">
    <w:name w:val="Callout Heading"/>
    <w:basedOn w:val="Normal"/>
    <w:qFormat/>
    <w:rsid w:val="008528A2"/>
    <w:pPr>
      <w:spacing w:before="120" w:after="120"/>
      <w:jc w:val="center"/>
    </w:pPr>
    <w:rPr>
      <w:b/>
      <w:color w:val="FFFFFF"/>
      <w:sz w:val="28"/>
    </w:rPr>
  </w:style>
  <w:style w:type="paragraph" w:styleId="Quote">
    <w:name w:val="Quote"/>
    <w:basedOn w:val="Normal"/>
    <w:link w:val="QuoteChar"/>
    <w:rsid w:val="006F769D"/>
    <w:pPr>
      <w:pBdr>
        <w:top w:val="dotted" w:sz="4" w:space="10" w:color="212121"/>
        <w:bottom w:val="dotted" w:sz="4" w:space="10" w:color="212121"/>
      </w:pBdr>
      <w:autoSpaceDE w:val="0"/>
      <w:autoSpaceDN w:val="0"/>
      <w:adjustRightInd w:val="0"/>
      <w:spacing w:before="360" w:after="240" w:line="240" w:lineRule="auto"/>
    </w:pPr>
    <w:rPr>
      <w:rFonts w:eastAsia="SimSun" w:cs="Arial"/>
      <w:sz w:val="26"/>
      <w:szCs w:val="26"/>
      <w:lang w:val="en-US" w:eastAsia="zh-CN"/>
    </w:rPr>
  </w:style>
  <w:style w:type="character" w:customStyle="1" w:styleId="QuoteChar">
    <w:name w:val="Quote Char"/>
    <w:basedOn w:val="DefaultParagraphFont"/>
    <w:link w:val="Quote"/>
    <w:rsid w:val="006F769D"/>
    <w:rPr>
      <w:rFonts w:ascii="Arial" w:eastAsia="SimSun" w:hAnsi="Arial" w:cs="Arial"/>
      <w:sz w:val="26"/>
      <w:szCs w:val="26"/>
      <w:lang w:val="en-US" w:eastAsia="zh-CN"/>
    </w:rPr>
  </w:style>
  <w:style w:type="paragraph" w:customStyle="1" w:styleId="ImageCaption">
    <w:name w:val="Image Caption"/>
    <w:basedOn w:val="Normal"/>
    <w:next w:val="BodyText"/>
    <w:qFormat/>
    <w:rsid w:val="00C722E8"/>
    <w:pPr>
      <w:pBdr>
        <w:bottom w:val="single" w:sz="4" w:space="4" w:color="auto"/>
      </w:pBdr>
      <w:spacing w:before="240" w:after="360"/>
    </w:pPr>
    <w:rPr>
      <w:sz w:val="16"/>
    </w:rPr>
  </w:style>
  <w:style w:type="table" w:customStyle="1" w:styleId="Tier2">
    <w:name w:val="Tier 2"/>
    <w:basedOn w:val="TableNormal"/>
    <w:uiPriority w:val="99"/>
    <w:rsid w:val="00151736"/>
    <w:pPr>
      <w:spacing w:after="0" w:line="240" w:lineRule="auto"/>
      <w:jc w:val="center"/>
    </w:pPr>
    <w:rPr>
      <w:rFonts w:ascii="Arial" w:hAnsi="Arial"/>
      <w:sz w:val="20"/>
    </w:rPr>
    <w:tblPr>
      <w:tblStyleRowBandSize w:val="1"/>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1594CA"/>
      </w:tcPr>
    </w:tblStylePr>
    <w:tblStylePr w:type="lastRow">
      <w:rPr>
        <w:b/>
      </w:rPr>
      <w:tblPr/>
      <w:tcPr>
        <w:shd w:val="clear" w:color="auto" w:fill="D9D9D9" w:themeFill="background1" w:themeFillShade="D9"/>
      </w:tcPr>
    </w:tblStylePr>
    <w:tblStylePr w:type="firstCol">
      <w:pPr>
        <w:jc w:val="left"/>
      </w:pPr>
    </w:tblStylePr>
    <w:tblStylePr w:type="band2Horz">
      <w:tblPr/>
      <w:tcPr>
        <w:shd w:val="clear" w:color="auto" w:fill="F2F2F2" w:themeFill="background1" w:themeFillShade="F2"/>
      </w:tcPr>
    </w:tblStylePr>
  </w:style>
  <w:style w:type="paragraph" w:customStyle="1" w:styleId="CallOutText0">
    <w:name w:val="Call Out Text"/>
    <w:basedOn w:val="Normal"/>
    <w:qFormat/>
    <w:rsid w:val="00075404"/>
    <w:pPr>
      <w:spacing w:before="120" w:after="120"/>
      <w:jc w:val="center"/>
    </w:pPr>
    <w:rPr>
      <w:color w:val="FFFFFF"/>
    </w:rPr>
  </w:style>
  <w:style w:type="paragraph" w:customStyle="1" w:styleId="CallOutHeading0">
    <w:name w:val="Call Out Heading"/>
    <w:basedOn w:val="Normal"/>
    <w:qFormat/>
    <w:rsid w:val="00075404"/>
    <w:pPr>
      <w:spacing w:before="120" w:after="120"/>
      <w:jc w:val="center"/>
    </w:pPr>
    <w:rPr>
      <w:b/>
      <w:color w:val="FFFFFF"/>
      <w:sz w:val="28"/>
    </w:rPr>
  </w:style>
  <w:style w:type="table" w:styleId="LightShading-Accent1">
    <w:name w:val="Light Shading Accent 1"/>
    <w:basedOn w:val="TableNormal"/>
    <w:uiPriority w:val="60"/>
    <w:rsid w:val="008102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AE60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hatyouwillfindCPMPNstyle">
    <w:name w:val="What you will find CPM/PN style"/>
    <w:basedOn w:val="Normal"/>
    <w:uiPriority w:val="99"/>
    <w:rsid w:val="0048466F"/>
    <w:pPr>
      <w:pBdr>
        <w:top w:val="dotted" w:sz="4" w:space="1" w:color="000080"/>
        <w:left w:val="dotted" w:sz="4" w:space="4" w:color="000080"/>
      </w:pBdr>
      <w:spacing w:after="240" w:line="360" w:lineRule="auto"/>
    </w:pPr>
    <w:rPr>
      <w:rFonts w:ascii="Arial Bold" w:eastAsia="Times New Roman" w:hAnsi="Arial Bold" w:cs="Arial"/>
      <w:b/>
      <w:color w:val="000080"/>
      <w:szCs w:val="20"/>
      <w:lang w:val="en-GB" w:eastAsia="en-NZ"/>
    </w:rPr>
  </w:style>
  <w:style w:type="paragraph" w:customStyle="1" w:styleId="GuidancearoundCPMPN">
    <w:name w:val="Guidance around CPM/PN"/>
    <w:basedOn w:val="Normal"/>
    <w:uiPriority w:val="99"/>
    <w:rsid w:val="0048466F"/>
    <w:pPr>
      <w:spacing w:before="120" w:after="120"/>
    </w:pPr>
    <w:rPr>
      <w:rFonts w:ascii="Arial Bold" w:eastAsia="Times New Roman" w:hAnsi="Arial Bold" w:cs="Arial"/>
      <w:b/>
      <w:iCs/>
      <w:color w:val="000080"/>
      <w:sz w:val="22"/>
      <w:szCs w:val="24"/>
      <w:lang w:val="en-GB" w:eastAsia="en-GB"/>
    </w:rPr>
  </w:style>
  <w:style w:type="character" w:customStyle="1" w:styleId="ListTickintroboxChar">
    <w:name w:val="List Tick intro box Char"/>
    <w:basedOn w:val="DefaultParagraphFont"/>
    <w:link w:val="ListTickintrobox"/>
    <w:uiPriority w:val="99"/>
    <w:locked/>
    <w:rsid w:val="0048466F"/>
    <w:rPr>
      <w:rFonts w:ascii="Arial" w:hAnsi="Arial" w:cs="Arial"/>
      <w:iCs/>
      <w:color w:val="000080"/>
      <w:szCs w:val="24"/>
      <w:lang w:val="en-GB" w:eastAsia="en-GB"/>
    </w:rPr>
  </w:style>
  <w:style w:type="paragraph" w:customStyle="1" w:styleId="ListTickintrobox">
    <w:name w:val="List Tick intro box"/>
    <w:basedOn w:val="Normal"/>
    <w:link w:val="ListTickintroboxChar"/>
    <w:uiPriority w:val="99"/>
    <w:rsid w:val="0048466F"/>
    <w:pPr>
      <w:numPr>
        <w:numId w:val="25"/>
      </w:numPr>
      <w:spacing w:after="120"/>
      <w:ind w:left="426" w:hanging="426"/>
      <w:contextualSpacing/>
    </w:pPr>
    <w:rPr>
      <w:rFonts w:cs="Arial"/>
      <w:iCs/>
      <w:color w:val="000080"/>
      <w:sz w:val="22"/>
      <w:szCs w:val="24"/>
      <w:lang w:val="en-GB" w:eastAsia="en-GB"/>
    </w:rPr>
  </w:style>
  <w:style w:type="paragraph" w:customStyle="1" w:styleId="BodyText1">
    <w:name w:val="Body Text1"/>
    <w:link w:val="BodytextChar0"/>
    <w:qFormat/>
    <w:rsid w:val="0048466F"/>
    <w:pPr>
      <w:spacing w:after="120" w:line="288" w:lineRule="auto"/>
    </w:pPr>
    <w:rPr>
      <w:rFonts w:ascii="Arial" w:eastAsia="Times New Roman" w:hAnsi="Arial" w:cs="Arial"/>
      <w:iCs/>
      <w:color w:val="000000"/>
      <w:szCs w:val="24"/>
      <w:lang w:eastAsia="en-GB"/>
    </w:rPr>
  </w:style>
  <w:style w:type="paragraph" w:styleId="ListParagraph">
    <w:name w:val="List Paragraph"/>
    <w:basedOn w:val="BodyText1"/>
    <w:uiPriority w:val="1"/>
    <w:qFormat/>
    <w:rsid w:val="0048466F"/>
    <w:pPr>
      <w:ind w:left="720"/>
      <w:contextualSpacing/>
    </w:pPr>
  </w:style>
  <w:style w:type="character" w:customStyle="1" w:styleId="BodytextChar0">
    <w:name w:val="Body text Char"/>
    <w:basedOn w:val="Heading5Char"/>
    <w:link w:val="BodyText1"/>
    <w:locked/>
    <w:rsid w:val="0048466F"/>
    <w:rPr>
      <w:rFonts w:ascii="Arial" w:eastAsia="Times New Roman" w:hAnsi="Arial" w:cs="Arial"/>
      <w:iCs/>
      <w:color w:val="000000"/>
      <w:szCs w:val="24"/>
      <w:lang w:eastAsia="en-GB"/>
    </w:rPr>
  </w:style>
  <w:style w:type="character" w:styleId="FootnoteReference">
    <w:name w:val="footnote reference"/>
    <w:basedOn w:val="DefaultParagraphFont"/>
    <w:semiHidden/>
    <w:unhideWhenUsed/>
    <w:rsid w:val="0048466F"/>
    <w:rPr>
      <w:vertAlign w:val="superscript"/>
    </w:rPr>
  </w:style>
  <w:style w:type="paragraph" w:customStyle="1" w:styleId="ACBodyText">
    <w:name w:val="AC BodyText"/>
    <w:link w:val="ACBodyTextChar"/>
    <w:qFormat/>
    <w:rsid w:val="008A6F74"/>
    <w:pPr>
      <w:spacing w:line="288" w:lineRule="auto"/>
      <w:ind w:left="567" w:right="567"/>
    </w:pPr>
    <w:rPr>
      <w:rFonts w:ascii="Arial" w:eastAsiaTheme="majorEastAsia" w:hAnsi="Arial" w:cstheme="majorBidi"/>
      <w:bCs/>
      <w:color w:val="auto"/>
      <w:szCs w:val="28"/>
    </w:rPr>
  </w:style>
  <w:style w:type="paragraph" w:customStyle="1" w:styleId="ACBodyTextBullets">
    <w:name w:val="AC BodyText Bullets"/>
    <w:basedOn w:val="ACBodyText"/>
    <w:link w:val="ACBodyTextBulletsChar"/>
    <w:qFormat/>
    <w:rsid w:val="008A6F74"/>
    <w:pPr>
      <w:numPr>
        <w:ilvl w:val="1"/>
        <w:numId w:val="42"/>
      </w:numPr>
      <w:spacing w:after="120"/>
      <w:ind w:right="1134"/>
      <w:contextualSpacing/>
    </w:pPr>
    <w:rPr>
      <w:bCs w:val="0"/>
    </w:rPr>
  </w:style>
  <w:style w:type="paragraph" w:customStyle="1" w:styleId="ACBodyTextAdviceNote">
    <w:name w:val="AC BodyText Advice Note"/>
    <w:basedOn w:val="ACBodyText"/>
    <w:link w:val="ACBodyTextAdviceNoteChar"/>
    <w:qFormat/>
    <w:rsid w:val="008A6F74"/>
    <w:pPr>
      <w:ind w:right="907"/>
    </w:pPr>
    <w:rPr>
      <w:i/>
    </w:rPr>
  </w:style>
  <w:style w:type="paragraph" w:customStyle="1" w:styleId="ACBodyTextHeader">
    <w:name w:val="AC BodyText Header"/>
    <w:basedOn w:val="ACBodyText"/>
    <w:next w:val="ACBodyText"/>
    <w:link w:val="ACBodyTextHeaderChar"/>
    <w:qFormat/>
    <w:rsid w:val="008A6F74"/>
    <w:pPr>
      <w:keepNext/>
      <w:ind w:right="170"/>
    </w:pPr>
    <w:rPr>
      <w:b/>
    </w:rPr>
  </w:style>
  <w:style w:type="paragraph" w:customStyle="1" w:styleId="ACConditionBodyText">
    <w:name w:val="AC Condition BodyText"/>
    <w:basedOn w:val="ACBodyText"/>
    <w:qFormat/>
    <w:rsid w:val="008A6F74"/>
  </w:style>
  <w:style w:type="paragraph" w:customStyle="1" w:styleId="ACBodyTextNumbers">
    <w:name w:val="AC BodyText Numbers"/>
    <w:basedOn w:val="ACBodyText"/>
    <w:link w:val="ACBodyTextNumbersChar"/>
    <w:uiPriority w:val="99"/>
    <w:qFormat/>
    <w:rsid w:val="008A6F74"/>
    <w:pPr>
      <w:ind w:left="0"/>
    </w:pPr>
  </w:style>
  <w:style w:type="paragraph" w:customStyle="1" w:styleId="ACTableText">
    <w:name w:val="AC TableText"/>
    <w:basedOn w:val="ACBodyText"/>
    <w:link w:val="ACTableTextChar"/>
    <w:rsid w:val="008A6F74"/>
    <w:pPr>
      <w:spacing w:after="100"/>
      <w:ind w:left="0" w:right="0"/>
    </w:pPr>
  </w:style>
  <w:style w:type="character" w:customStyle="1" w:styleId="ACBodyTextChar">
    <w:name w:val="AC BodyText Char"/>
    <w:basedOn w:val="DefaultParagraphFont"/>
    <w:link w:val="ACBodyText"/>
    <w:rsid w:val="008A6F74"/>
    <w:rPr>
      <w:rFonts w:ascii="Arial" w:eastAsiaTheme="majorEastAsia" w:hAnsi="Arial" w:cstheme="majorBidi"/>
      <w:bCs/>
      <w:color w:val="auto"/>
      <w:szCs w:val="28"/>
    </w:rPr>
  </w:style>
  <w:style w:type="numbering" w:customStyle="1" w:styleId="ACBodyNumbers1">
    <w:name w:val="AC Body Numbers1"/>
    <w:uiPriority w:val="99"/>
    <w:rsid w:val="008A6F74"/>
    <w:pPr>
      <w:numPr>
        <w:numId w:val="45"/>
      </w:numPr>
    </w:pPr>
  </w:style>
  <w:style w:type="paragraph" w:customStyle="1" w:styleId="ACBodyTextBulletsLevel2">
    <w:name w:val="AC BodyText Bullets Level 2"/>
    <w:basedOn w:val="ACBodyTextBullets"/>
    <w:link w:val="ACBodyTextBulletsLevel2Char"/>
    <w:qFormat/>
    <w:rsid w:val="008A6F74"/>
    <w:pPr>
      <w:numPr>
        <w:ilvl w:val="3"/>
        <w:numId w:val="43"/>
      </w:numPr>
      <w:spacing w:after="60"/>
      <w:ind w:left="1418" w:hanging="357"/>
    </w:pPr>
  </w:style>
  <w:style w:type="paragraph" w:customStyle="1" w:styleId="ACSCMnote2staff">
    <w:name w:val="AC SCM note2staff"/>
    <w:basedOn w:val="ACBodyText"/>
    <w:link w:val="ACSCMnote2staffChar"/>
    <w:qFormat/>
    <w:rsid w:val="00D42A71"/>
    <w:rPr>
      <w:i/>
      <w:color w:val="0070C0"/>
      <w:lang w:eastAsia="en-NZ"/>
    </w:rPr>
  </w:style>
  <w:style w:type="character" w:customStyle="1" w:styleId="ACSCMnote2staffChar">
    <w:name w:val="AC SCM note2staff Char"/>
    <w:basedOn w:val="DefaultParagraphFont"/>
    <w:link w:val="ACSCMnote2staff"/>
    <w:rsid w:val="00D42A71"/>
    <w:rPr>
      <w:rFonts w:ascii="Arial" w:eastAsiaTheme="majorEastAsia" w:hAnsi="Arial" w:cstheme="majorBidi"/>
      <w:bCs/>
      <w:i/>
      <w:color w:val="0070C0"/>
      <w:szCs w:val="28"/>
      <w:lang w:eastAsia="en-NZ"/>
    </w:rPr>
  </w:style>
  <w:style w:type="paragraph" w:customStyle="1" w:styleId="ACSCMStaffHeader">
    <w:name w:val="AC SCM StaffHeader"/>
    <w:basedOn w:val="ACBodyTextHeader"/>
    <w:link w:val="ACSCMStaffHeaderChar"/>
    <w:qFormat/>
    <w:rsid w:val="00D42A71"/>
    <w:pPr>
      <w:spacing w:before="360"/>
    </w:pPr>
    <w:rPr>
      <w:b w:val="0"/>
      <w:i/>
      <w:color w:val="0070C0"/>
    </w:rPr>
  </w:style>
  <w:style w:type="paragraph" w:customStyle="1" w:styleId="ACSCMconditiondivider">
    <w:name w:val="AC SCM condition divider"/>
    <w:next w:val="Heading3"/>
    <w:qFormat/>
    <w:rsid w:val="0005071B"/>
    <w:pPr>
      <w:keepNext/>
      <w:pBdr>
        <w:top w:val="single" w:sz="8" w:space="1" w:color="1F4E79" w:themeColor="accent1" w:themeShade="80"/>
      </w:pBdr>
      <w:spacing w:before="480" w:after="360" w:line="240" w:lineRule="auto"/>
      <w:ind w:left="567" w:right="663"/>
      <w:contextualSpacing/>
    </w:pPr>
    <w:rPr>
      <w:rFonts w:ascii="Arial" w:eastAsiaTheme="majorEastAsia" w:hAnsi="Arial" w:cstheme="majorBidi"/>
      <w:color w:val="auto"/>
      <w:sz w:val="16"/>
      <w:szCs w:val="28"/>
    </w:rPr>
  </w:style>
  <w:style w:type="character" w:customStyle="1" w:styleId="ACBodyTextAdviceNoteChar">
    <w:name w:val="AC BodyText Advice Note Char"/>
    <w:basedOn w:val="ACBodyTextChar"/>
    <w:link w:val="ACBodyTextAdviceNote"/>
    <w:rsid w:val="008A6F74"/>
    <w:rPr>
      <w:rFonts w:ascii="Arial" w:eastAsiaTheme="majorEastAsia" w:hAnsi="Arial" w:cstheme="majorBidi"/>
      <w:bCs/>
      <w:i/>
      <w:color w:val="auto"/>
      <w:szCs w:val="28"/>
    </w:rPr>
  </w:style>
  <w:style w:type="character" w:customStyle="1" w:styleId="ACBodyTextHeaderChar">
    <w:name w:val="AC BodyText Header Char"/>
    <w:basedOn w:val="ACBodyTextAdviceNoteChar"/>
    <w:link w:val="ACBodyTextHeader"/>
    <w:rsid w:val="008A6F74"/>
    <w:rPr>
      <w:rFonts w:ascii="Arial" w:eastAsiaTheme="majorEastAsia" w:hAnsi="Arial" w:cstheme="majorBidi"/>
      <w:b/>
      <w:bCs/>
      <w:i w:val="0"/>
      <w:color w:val="auto"/>
      <w:szCs w:val="28"/>
    </w:rPr>
  </w:style>
  <w:style w:type="character" w:customStyle="1" w:styleId="ACSCMStaffHeaderChar">
    <w:name w:val="AC SCM StaffHeader Char"/>
    <w:basedOn w:val="ACBodyTextHeaderChar"/>
    <w:link w:val="ACSCMStaffHeader"/>
    <w:rsid w:val="00D42A71"/>
    <w:rPr>
      <w:rFonts w:ascii="Arial" w:eastAsiaTheme="majorEastAsia" w:hAnsi="Arial" w:cstheme="majorBidi"/>
      <w:b w:val="0"/>
      <w:bCs/>
      <w:i/>
      <w:color w:val="0070C0"/>
      <w:szCs w:val="28"/>
    </w:rPr>
  </w:style>
  <w:style w:type="character" w:customStyle="1" w:styleId="ACBodyTextBulletsChar">
    <w:name w:val="AC BodyText Bullets Char"/>
    <w:basedOn w:val="ACBodyTextChar"/>
    <w:link w:val="ACBodyTextBullets"/>
    <w:rsid w:val="008A6F74"/>
    <w:rPr>
      <w:rFonts w:ascii="Arial" w:eastAsiaTheme="majorEastAsia" w:hAnsi="Arial" w:cstheme="majorBidi"/>
      <w:bCs w:val="0"/>
      <w:color w:val="auto"/>
      <w:szCs w:val="28"/>
    </w:rPr>
  </w:style>
  <w:style w:type="character" w:customStyle="1" w:styleId="ACBodyTextBulletsLevel2Char">
    <w:name w:val="AC BodyText Bullets Level 2 Char"/>
    <w:basedOn w:val="ACBodyTextBulletsChar"/>
    <w:link w:val="ACBodyTextBulletsLevel2"/>
    <w:rsid w:val="008A6F74"/>
    <w:rPr>
      <w:rFonts w:ascii="Arial" w:eastAsiaTheme="majorEastAsia" w:hAnsi="Arial" w:cstheme="majorBidi"/>
      <w:bCs w:val="0"/>
      <w:color w:val="auto"/>
      <w:szCs w:val="28"/>
    </w:rPr>
  </w:style>
  <w:style w:type="character" w:customStyle="1" w:styleId="ACTableTextChar">
    <w:name w:val="AC TableText Char"/>
    <w:basedOn w:val="ACBodyTextChar"/>
    <w:link w:val="ACTableText"/>
    <w:rsid w:val="008A6F74"/>
    <w:rPr>
      <w:rFonts w:ascii="Arial" w:eastAsiaTheme="majorEastAsia" w:hAnsi="Arial" w:cstheme="majorBidi"/>
      <w:bCs/>
      <w:color w:val="auto"/>
      <w:szCs w:val="28"/>
    </w:rPr>
  </w:style>
  <w:style w:type="character" w:customStyle="1" w:styleId="ACBodyTextNumbersChar">
    <w:name w:val="AC BodyText Numbers Char"/>
    <w:basedOn w:val="ACBodyTextChar"/>
    <w:link w:val="ACBodyTextNumbers"/>
    <w:uiPriority w:val="99"/>
    <w:rsid w:val="008A6F74"/>
    <w:rPr>
      <w:rFonts w:ascii="Arial" w:eastAsiaTheme="majorEastAsia" w:hAnsi="Arial" w:cstheme="majorBidi"/>
      <w:bCs/>
      <w:color w:val="auto"/>
      <w:szCs w:val="28"/>
    </w:rPr>
  </w:style>
  <w:style w:type="numbering" w:customStyle="1" w:styleId="ACBodyNumbers11">
    <w:name w:val="AC Body Numbers11"/>
    <w:uiPriority w:val="99"/>
    <w:rsid w:val="008A6F74"/>
    <w:pPr>
      <w:numPr>
        <w:numId w:val="42"/>
      </w:numPr>
    </w:pPr>
  </w:style>
  <w:style w:type="character" w:styleId="UnresolvedMention">
    <w:name w:val="Unresolved Mention"/>
    <w:basedOn w:val="DefaultParagraphFont"/>
    <w:uiPriority w:val="99"/>
    <w:semiHidden/>
    <w:unhideWhenUsed/>
    <w:rsid w:val="00E75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85541">
      <w:bodyDiv w:val="1"/>
      <w:marLeft w:val="0"/>
      <w:marRight w:val="0"/>
      <w:marTop w:val="0"/>
      <w:marBottom w:val="0"/>
      <w:divBdr>
        <w:top w:val="none" w:sz="0" w:space="0" w:color="auto"/>
        <w:left w:val="none" w:sz="0" w:space="0" w:color="auto"/>
        <w:bottom w:val="none" w:sz="0" w:space="0" w:color="auto"/>
        <w:right w:val="none" w:sz="0" w:space="0" w:color="auto"/>
      </w:divBdr>
    </w:div>
    <w:div w:id="751510201">
      <w:bodyDiv w:val="1"/>
      <w:marLeft w:val="0"/>
      <w:marRight w:val="0"/>
      <w:marTop w:val="0"/>
      <w:marBottom w:val="0"/>
      <w:divBdr>
        <w:top w:val="none" w:sz="0" w:space="0" w:color="auto"/>
        <w:left w:val="none" w:sz="0" w:space="0" w:color="auto"/>
        <w:bottom w:val="none" w:sz="0" w:space="0" w:color="auto"/>
        <w:right w:val="none" w:sz="0" w:space="0" w:color="auto"/>
      </w:divBdr>
    </w:div>
    <w:div w:id="947159027">
      <w:bodyDiv w:val="1"/>
      <w:marLeft w:val="0"/>
      <w:marRight w:val="0"/>
      <w:marTop w:val="0"/>
      <w:marBottom w:val="0"/>
      <w:divBdr>
        <w:top w:val="none" w:sz="0" w:space="0" w:color="auto"/>
        <w:left w:val="none" w:sz="0" w:space="0" w:color="auto"/>
        <w:bottom w:val="none" w:sz="0" w:space="0" w:color="auto"/>
        <w:right w:val="none" w:sz="0" w:space="0" w:color="auto"/>
      </w:divBdr>
    </w:div>
    <w:div w:id="1087849711">
      <w:bodyDiv w:val="1"/>
      <w:marLeft w:val="0"/>
      <w:marRight w:val="0"/>
      <w:marTop w:val="0"/>
      <w:marBottom w:val="0"/>
      <w:divBdr>
        <w:top w:val="none" w:sz="0" w:space="0" w:color="auto"/>
        <w:left w:val="none" w:sz="0" w:space="0" w:color="auto"/>
        <w:bottom w:val="none" w:sz="0" w:space="0" w:color="auto"/>
        <w:right w:val="none" w:sz="0" w:space="0" w:color="auto"/>
      </w:divBdr>
    </w:div>
    <w:div w:id="10974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ngm\Auckland%20Council\RC%20Community%20of%20Practice%20-%20Documents\Practice%20and%20Guidance%20Notes\00%20Programme\Practice%20and%20Guidance%20Note%20-%20Updated%20Formatting%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CBA">
            <a:alpha val="89804"/>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3926638356A4E9F3EB314B9F3887D" ma:contentTypeVersion="2" ma:contentTypeDescription="Create a new document." ma:contentTypeScope="" ma:versionID="0e52ae6fde12cbf06a80b6f1ab69ba11">
  <xsd:schema xmlns:xsd="http://www.w3.org/2001/XMLSchema" xmlns:xs="http://www.w3.org/2001/XMLSchema" xmlns:p="http://schemas.microsoft.com/office/2006/metadata/properties" xmlns:ns1="http://schemas.microsoft.com/sharepoint/v3" xmlns:ns2="f8e62e3d-a8ad-468a-afab-46a3bdd2128f" targetNamespace="http://schemas.microsoft.com/office/2006/metadata/properties" ma:root="true" ma:fieldsID="f298e824e2709bcbd834c57cd4c39d33" ns1:_="" ns2:_="">
    <xsd:import namespace="http://schemas.microsoft.com/sharepoint/v3"/>
    <xsd:import namespace="f8e62e3d-a8ad-468a-afab-46a3bdd2128f"/>
    <xsd:element name="properties">
      <xsd:complexType>
        <xsd:sequence>
          <xsd:element name="documentManagement">
            <xsd:complexType>
              <xsd:all>
                <xsd:element ref="ns2:c684ffae6dad4ef4bbef503f1a706ea4" minOccurs="0"/>
                <xsd:element ref="ns2:TaxCatchAll" minOccurs="0"/>
                <xsd:element ref="ns2:TaxCatchAllLabel" minOccurs="0"/>
                <xsd:element ref="ns2:m2480b26297f46768831b26a430aa3a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e62e3d-a8ad-468a-afab-46a3bdd2128f" elementFormDefault="qualified">
    <xsd:import namespace="http://schemas.microsoft.com/office/2006/documentManagement/types"/>
    <xsd:import namespace="http://schemas.microsoft.com/office/infopath/2007/PartnerControls"/>
    <xsd:element name="c684ffae6dad4ef4bbef503f1a706ea4" ma:index="8" nillable="true" ma:taxonomy="true" ma:internalName="c684ffae6dad4ef4bbef503f1a706ea4" ma:taxonomyFieldName="DesignSubject" ma:displayName="Design Subject" ma:readOnly="false" ma:fieldId="{c684ffae-6dad-4ef4-bbef-503f1a706ea4}" ma:taxonomyMulti="true" ma:sspId="c21e8235-aa74-4502-af10-d3a5558e8e4c" ma:termSetId="68183c2a-43e6-43cf-b057-4da6bfeeabe1"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de5c0d75-48d5-4e2a-a7fb-70e63ebd42e2}" ma:internalName="TaxCatchAll" ma:showField="CatchAllData" ma:web="f8e62e3d-a8ad-468a-afab-46a3bdd2128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e5c0d75-48d5-4e2a-a7fb-70e63ebd42e2}" ma:internalName="TaxCatchAllLabel" ma:readOnly="true" ma:showField="CatchAllDataLabel" ma:web="f8e62e3d-a8ad-468a-afab-46a3bdd2128f">
      <xsd:complexType>
        <xsd:complexContent>
          <xsd:extension base="dms:MultiChoiceLookup">
            <xsd:sequence>
              <xsd:element name="Value" type="dms:Lookup" maxOccurs="unbounded" minOccurs="0" nillable="true"/>
            </xsd:sequence>
          </xsd:extension>
        </xsd:complexContent>
      </xsd:complexType>
    </xsd:element>
    <xsd:element name="m2480b26297f46768831b26a430aa3aa" ma:index="12" nillable="true" ma:taxonomy="true" ma:internalName="m2480b26297f46768831b26a430aa3aa" ma:taxonomyFieldName="GeneralTags" ma:displayName="General Tags" ma:readOnly="false" ma:fieldId="{62480b26-297f-4676-8831-b26a430aa3aa}" ma:taxonomyMulti="true" ma:sspId="c21e8235-aa74-4502-af10-d3a5558e8e4c" ma:termSetId="fe734817-d794-41cf-9adc-c9fe6f9d44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8e62e3d-a8ad-468a-afab-46a3bdd2128f"/>
    <m2480b26297f46768831b26a430aa3aa xmlns="f8e62e3d-a8ad-468a-afab-46a3bdd2128f">
      <Terms xmlns="http://schemas.microsoft.com/office/infopath/2007/PartnerControls"/>
    </m2480b26297f46768831b26a430aa3aa>
    <PublishingExpirationDate xmlns="http://schemas.microsoft.com/sharepoint/v3" xsi:nil="true"/>
    <PublishingStartDate xmlns="http://schemas.microsoft.com/sharepoint/v3" xsi:nil="true"/>
    <c684ffae6dad4ef4bbef503f1a706ea4 xmlns="f8e62e3d-a8ad-468a-afab-46a3bdd2128f">
      <Terms xmlns="http://schemas.microsoft.com/office/infopath/2007/PartnerControls"/>
    </c684ffae6dad4ef4bbef503f1a706e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1AB3D-CD36-4BB8-8B11-C67A3F237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e62e3d-a8ad-468a-afab-46a3bdd21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8DBF3-8394-B549-AFCE-975443B71DB7}">
  <ds:schemaRefs>
    <ds:schemaRef ds:uri="http://schemas.openxmlformats.org/officeDocument/2006/bibliography"/>
  </ds:schemaRefs>
</ds:datastoreItem>
</file>

<file path=customXml/itemProps3.xml><?xml version="1.0" encoding="utf-8"?>
<ds:datastoreItem xmlns:ds="http://schemas.openxmlformats.org/officeDocument/2006/customXml" ds:itemID="{DE27337F-D616-4FB4-814B-7DFFA9017410}">
  <ds:schemaRefs>
    <ds:schemaRef ds:uri="14d26d50-950a-46b4-affd-94cfd8c365e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f44f64d-0c77-40a8-901f-6424715a55bd"/>
    <ds:schemaRef ds:uri="http://www.w3.org/XML/1998/namespace"/>
    <ds:schemaRef ds:uri="f8e62e3d-a8ad-468a-afab-46a3bdd2128f"/>
    <ds:schemaRef ds:uri="http://schemas.microsoft.com/sharepoint/v3"/>
  </ds:schemaRefs>
</ds:datastoreItem>
</file>

<file path=customXml/itemProps4.xml><?xml version="1.0" encoding="utf-8"?>
<ds:datastoreItem xmlns:ds="http://schemas.openxmlformats.org/officeDocument/2006/customXml" ds:itemID="{90B6AB90-3BE6-4F39-A02E-97116BC64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Practice and Guidance Note - Updated Formatting 2019</Template>
  <TotalTime>9</TotalTime>
  <Pages>12</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Tsang</dc:creator>
  <cp:keywords/>
  <cp:lastModifiedBy>Siobhann McCabe</cp:lastModifiedBy>
  <cp:revision>5</cp:revision>
  <cp:lastPrinted>2019-12-19T00:01:00Z</cp:lastPrinted>
  <dcterms:created xsi:type="dcterms:W3CDTF">2020-07-27T22:45:00Z</dcterms:created>
  <dcterms:modified xsi:type="dcterms:W3CDTF">2022-11-22T02:49:00Z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0x010100A2C3926638356A4E9F3EB314B9F3887D</vt:lpwstr>
  </property>
  <property fmtid="{D5CDD505-2E9C-101B-9397-08002B2CF9AE}" pid="3" name="DesignSubject">
    <vt:lpwstr/>
  </property>
  <property fmtid="{D5CDD505-2E9C-101B-9397-08002B2CF9AE}" pid="4" name="GeneralTags">
    <vt:lpwstr/>
  </property>
</Properties>
</file>